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168 vom 22. Mai 2025</w:t>
      </w:r>
    </w:p>
    <w:p>
      <w:r>
        <w:t>FR Kantonsgericht, 2025-05-22, FR</w:t>
      </w:r>
    </w:p>
    <w:p>
      <w:r>
        <w:rPr>
          <w:b/>
        </w:rPr>
        <w:t xml:space="preserve">Quelle: </w:t>
      </w:r>
      <w:r>
        <w:t>https://mcp.opencaselaw.ch/entscheid/fr_gerichte_608_2024_168</w:t>
      </w:r>
    </w:p>
    <w:p>
      <w:r>
        <w:t>FR: FR_GERICHTE 608 2024 168 du 22 mai 2025</w:t>
      </w:r>
    </w:p>
    <w:p>
      <w:r>
        <w:t>IT: FR_GERICHTE 608 2024 168 del 22 maggio 2025</w:t>
      </w:r>
    </w:p>
    <w:p>
      <w:pPr>
        <w:pStyle w:val="Heading2"/>
      </w:pPr>
      <w:r>
        <w:t>Regeste</w:t>
      </w:r>
    </w:p>
    <w:p>
      <w:r>
        <w:t>Arrêt de la IIe Cour des assurances sociales du Tribunal cantonal | Krankenversicherung</w:t>
      </w:r>
    </w:p>
    <w:p>
      <w:pPr>
        <w:pStyle w:val="Heading2"/>
      </w:pPr>
      <w:r>
        <w:t>Erwägungen</w:t>
      </w:r>
    </w:p>
    <w:p>
      <w:r>
        <w:rPr>
          <w:b/>
        </w:rPr>
        <w:t>E. 1</w:t>
      </w:r>
    </w:p>
    <w:p>
      <w:r>
        <w:t>Dès lors que la recourante requiert une "révision" de sa demande, elle demande implicitement que le refus par la Caisse de lui octroyer une réduction de primes soit (ré-)examiné par la Cour. La décision sur réclamation contestée n'étant pas encore entrée en force, la recourante a dès lors initié, le 23 décembre 2024, une procédure (ordinaire) de recours contre la décision sur réclamation du</w:t>
      </w:r>
    </w:p>
    <w:p>
      <w:r>
        <w:rPr>
          <w:b/>
        </w:rPr>
        <w:t>E. 5</w:t>
      </w:r>
    </w:p>
    <w:p>
      <w:r>
        <w:t>décembre 2024 est confirmée.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2025/afb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