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100 vom 28. März 2025</w:t>
      </w:r>
    </w:p>
    <w:p>
      <w:r>
        <w:t>FR Kantonsgericht, 2025-03-28, FR</w:t>
      </w:r>
    </w:p>
    <w:p>
      <w:r>
        <w:rPr>
          <w:b/>
        </w:rPr>
        <w:t xml:space="preserve">Quelle: </w:t>
      </w:r>
      <w:r>
        <w:t>https://mcp.opencaselaw.ch/entscheid/fr_gerichte_608_2024_100</w:t>
      </w:r>
    </w:p>
    <w:p>
      <w:r>
        <w:t>FR: FR_GERICHTE 608 2024 100 du 28 mars 2025</w:t>
      </w:r>
    </w:p>
    <w:p>
      <w:r>
        <w:t>IT: FR_GERICHTE 608 2024 100 del 28 marzo 2025</w:t>
      </w:r>
    </w:p>
    <w:p>
      <w:pPr>
        <w:pStyle w:val="Heading2"/>
      </w:pPr>
      <w:r>
        <w:t>Regeste</w:t>
      </w:r>
    </w:p>
    <w:p>
      <w:r>
        <w:t>Arrêt de IIe Cour des assurances sociales du Tribunal cantonal | Invalidenversicherung</w:t>
      </w:r>
    </w:p>
    <w:p>
      <w:pPr>
        <w:pStyle w:val="Heading2"/>
      </w:pPr>
      <w:r>
        <w:t>Erwägungen</w:t>
      </w:r>
    </w:p>
    <w:p>
      <w:r>
        <w:rPr>
          <w:b/>
        </w:rPr>
        <w:t>E. 1</w:t>
      </w:r>
    </w:p>
    <w:p>
      <w:r>
        <w:t>Interjeté en temps utile auprès de l'autorité judiciaire compétente par un assuré, dûment représenté, directement touché par la décision attaquée, le recours est recevable.</w:t>
      </w:r>
    </w:p>
    <w:p>
      <w:r>
        <w:rPr>
          <w:b/>
        </w:rPr>
        <w:t>E. 2.1</w:t>
      </w:r>
    </w:p>
    <w:p>
      <w:r>
        <w:t>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applicable par renvoi de l'art. 1 al. 1 LAI, ont, notamment, été modifiés avec effet au 1er janvier 2022 (modification du 19 juin 2020; RO 2021 705; FF 2017 2363). Cas échéant, ces changements devront être observés ici.</w:t>
      </w:r>
    </w:p>
    <w:p>
      <w:r>
        <w:rPr>
          <w:b/>
        </w:rPr>
        <w:t>E. 2.2</w:t>
      </w:r>
    </w:p>
    <w:p>
      <w:r>
        <w:t>Aux termes de l'art. 8 al. 1 LPGA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2.3</w:t>
      </w:r>
    </w:p>
    <w:p>
      <w:r>
        <w:t>Les atteintes à la santé psychique – y compris les troubles somatoformes douloureux persistants ou fibromyalgie –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w:t>
      </w:r>
    </w:p>
    <w:p>
      <w:r>
        <w:t>Tribunal cantonal TC Page 4 de 11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Indépendamment de leur diagnostic, des troubles entrent déjà en considération en tant que comorbidité importante du point de vue juridique si, dans le cas concret, on doit leur attribuer un effet limitatif sur les ressources (ATF 143 V 418).</w:t>
      </w:r>
    </w:p>
    <w:p>
      <w:r>
        <w:rPr>
          <w:b/>
        </w:rPr>
        <w:t>E. 2.4</w:t>
      </w:r>
    </w:p>
    <w:p>
      <w:r>
        <w:t>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rPr>
          <w:b/>
        </w:rPr>
        <w:t>E. 2.5</w:t>
      </w:r>
    </w:p>
    <w:p>
      <w:r>
        <w:t>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w:t>
      </w:r>
    </w:p>
    <w:p>
      <w:r>
        <w:t>Tribunal cantonal TC Page 5 de 11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w:t>
      </w:r>
    </w:p>
    <w:p>
      <w:r>
        <w:rPr>
          <w:b/>
        </w:rPr>
        <w:t>E. 2.6</w:t>
      </w:r>
    </w:p>
    <w:p>
      <w:r>
        <w:t>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La tâche de l'expert consiste à se prononcer quant aux atteintes à la santé et à leurs effets sur la capacité de travail, y compris dans une éventuelle activité adaptée aux limitations fonctionnelles devant être retenues médicalement selon lui. Sous réserve d'un indice concret permettant de douter de son bien-fondé, le contenu de cette expertise doit être préféré à celui d'autres pièces médicales. Il y a en effet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2.7</w:t>
      </w:r>
    </w:p>
    <w:p>
      <w:r>
        <w:t>En matière d'assurances sociales (cf. ATF 144 V 427 consid. 3.2; 139 V 176 consid. 5.3; 138 V 218 consid. 6; 140 III 610 consid. 4.1; 135 V 39 consid. 6.1),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ce degré suppose bien plutôt que, d'un point de vue objectif, des motifs importants plaident pour l'exactitude d'une allégation, sans que d'autres possibilités ne revêtent une importance significative ou n'entrent</w:t>
      </w:r>
    </w:p>
    <w:p>
      <w:r>
        <w:t>Tribunal cantonal TC Page 6 de 11 raisonnablement en considération. Dit autrement, le seuil de ce degré de la vraisemblance prépondérante est atteinte si les motifs de tenir une allégation pour exacte sont, d'un point de vue objectif, tellement impérieux que les autres possibilités hypothétiques n'entrent pas sérieusement en considération. La simple possibilité d'un certain état de fait ne suffit pas pour remplir cette exigence de preuve. Il n'y a donc pas de principe selon lequel l'administration ou le juge devrait statuer, dans le doute, en faveur de l'assuré.</w:t>
      </w:r>
    </w:p>
    <w:p>
      <w:r>
        <w:rPr>
          <w:b/>
        </w:rPr>
        <w:t>E. 2.8</w:t>
      </w:r>
    </w:p>
    <w:p>
      <w:r>
        <w:t>Selon l’art. 87 al. 3 RAI,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Lorsque l’administration entre en matière sur une nouvelle demande, elle doit examiner l’affaire au fond, et vérifier que la modification du degré d’invalidité rendue plausible par l’assuré est réellement intervenue. Il y a lieu d’appliquer par analogie les conditions de la révision du droit à la rente selon l’art. 17 LPGA (ATF 130 V 64 consid. 1b; VSI 1999 84 consid. 1b).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dans le cadre d'une nouvelle demande comme lors d'une procédure de révision correspond à la dernière décision qui repose sur un examen matériel du droit à la rente, avec une constatation des faits pertinents, une appréciation des preuves et une comparaison des revenus conformes au droit (ATF 133 V 108 consid. 5 et réf. citées).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w:t>
      </w:r>
    </w:p>
    <w:p>
      <w:r>
        <w:rPr>
          <w:b/>
        </w:rPr>
        <w:t>E. 3</w:t>
      </w:r>
    </w:p>
    <w:p>
      <w:r>
        <w:t>Est litigieux, en l'espèce, l'éventuel droit de l'assuré à des prestations AI. Il sied plus particulièrement de déterminer si, depuis la première décision de refus de rente entrée en force, son état de santé s'est dégradé notablement, de manière à influencer sa capacité de gain.</w:t>
      </w:r>
    </w:p>
    <w:p>
      <w:r>
        <w:t>Tribunal cantonal TC Page 7 de 11</w:t>
      </w:r>
    </w:p>
    <w:p>
      <w:r>
        <w:rPr>
          <w:b/>
        </w:rPr>
        <w:t>E. 3.1</w:t>
      </w:r>
    </w:p>
    <w:p>
      <w:r>
        <w:t>Lorsqu'il a rendu la décision du 12 octobre 2020, entrée en force, l'OAI a retenu une pleine capacité de travail, et noté en particulier qu'il n'y avait pas eu d'incapacité de travail de 40% au moins en moyenne durant une année.</w:t>
      </w:r>
    </w:p>
    <w:p>
      <w:r>
        <w:rPr>
          <w:b/>
        </w:rPr>
        <w:t>E. 3.2</w:t>
      </w:r>
    </w:p>
    <w:p>
      <w:r>
        <w:t>Dans le cadre de la seconde demande de prestations, l'OAI a mis en œuvre une expertise en psychiatrie, confiée à la Dre C.________, spécialiste en psychiatrie et psychothérapie (cf. son rapport du 15 mars 2024, dos. OAI 291). Pour son appréciation, l'experte-psychiatre s'est fondée sur l'étude de l'ensemble du dossier assécurologique. La teneur d'autres rapports et examens médicaux a été en particulier mentionnée. Elle a fait état de l'anamnèse ainsi que des plaintes, des données et indications subjectives de l'assuré et des observations cliniques réalisées. Elle ne s'est pas contentée de considérer de manière abstraite la problématique. Les points litigieux ont fait l'objet d'une étude circonstanciée et méthodologique, le contexte et l'appréciation médicaux ont été décrits de manière claire. L'experte a livré ses constatations objectives obtenues lorsqu'elle a examiné personnellement l'assuré et observé son comportement. Elle a analysé en particulier ses capacités, ressources et difficultés (limitations fonctionnelles). C'est de façon claire qu'elle a apporté une conclusion à son expertise, répondu aux questions qui lui étaient posées, y compris quant aux éventuelles options thérapeutiques à proposer. L'expertise remplit ainsi les conditions posées par la jurisprudence pour lui reconnaître force probante sur le plan formel. Sous réserve d'un indice concret permettant de douter de son bien-fondé, son contenu doit être préféré à celui d'autres pièces médicales, étant rappelé pour le surplus la certaine réserve à observer, cas échéant, par rapport à un document provenant d'un médecin traitant.</w:t>
      </w:r>
    </w:p>
    <w:p>
      <w:r>
        <w:rPr>
          <w:b/>
        </w:rPr>
        <w:t>E. 3.3</w:t>
      </w:r>
    </w:p>
    <w:p>
      <w:r>
        <w:t>Sur le plan matériel, l'experte n'a retenu aucun diagnostic ayant une incidence sur la capacité de travail. Sans cet effet, elle a mentionné une utilisation d'alcool nocive pour la santé (F10.1). L'assuré se plaignait principalement de troubles mémoriels qui l'empêcheraient d'effectuer sa tournée de distribution et d'une hypersensibilité aux bruits, apparue en 2020, au retour au travail post-Covid. Il se sentait soutenu et encouragé par sa compagne, avec laquelle il était depuis 9 ans. Il assurait tous les actes de la vie quotidienne, chaque jour. Il relatait une situation financière obérée, avec des poursuites et un remboursement d'aide social dû. Sa compagne l'aidait financièrement. Il aimait jouer à des jeux sur ordinateur en ligne environ 5 heures par jour. L'experte relevait que l'assuré était sans antécédents psychiatriques avant le Covid, en 2020. Il expliquait avoir d'abord eu une période d'incapacité de travail, attestée par son médecin traitant, en lien avec le risque supposé entre l'hypertension artérielle et l'infection Covid; par la suite, il aurait eu de la peine à reprendre le travail, puis avait été licencié avec effet à fin janvier 2024. C'est en décembre 2022 qu'un psychiatre lui a diagnostiqué un burn-out et attesté une incapacité de travail. Aucun élément saillant ne ressortait sous l'angle de la personnalité. L'expertisé était notamment en mesure d'effectuer des démarches médicales pour défendre ses intérêts relativement à la résiliation de son contrat de travail. Il n'était pas porteur d'un éventuel trouble spécifique de la personnalité F60. Un épisode caractérisé F32 n'était pas retenu non plus; il avait une capacité hédonique conservée ainsi qu'une modulation affective efficace. Aucune problématique anxieuse ou dépressive ne ressortait de l'anamnèse. Les résultats du test sanguin montraient une consommation excessive d'alcool lors des 2 à 3 semaines avant le prélèvement, ce qui coïncidait avec une utilisation nocive, toutefois sans argument en faveur d'un syndrome de dépendance alcoolique. Cette consommation</w:t>
      </w:r>
    </w:p>
    <w:p>
      <w:r>
        <w:t>Tribunal cantonal TC Page 8 de 11 apparaissait maîtrisée mais probablement minimisée. Il n'y avait pas de décompensation psychiatrique. Le suivi médical était une visite mensuelle auprès du psychiatre traitant, sans traitement psychiatrique-psychothérapeutique intégré (TPPI), ce qui correspondait à ce que nécessitait son état de santé. Il n'y avait pas de traitement psychopharmacologique, mais uniquement un relevant de la phytothérapie (Relaxane 1 cp en réserve). L'assuré présentait une faible motivation pour retrouver un emploi ainsi qu'une faible envie de se mobiliser relativement à une réadaptation professionnelle. S'agissant du bilan neuropsychologique de 2020, l'experte relevait en particulier des tests en mémoires de travail montrant une capacité à recopier ce que faisait l'interlocuteur, par mimétisme. Quelques difficultés apparaissaient, possiblement en lien avec celles initiales d'apprentissage dans un contexte de faible niveau intellectuel maternel allégué et d'une possible faible stimulation éducative. Cependant, l'assuré avait pu développer un certain nombre de ressources et avait correctement fonctionné depuis son enfance jusqu'à présent. Lors des tests de 2023, deux hétéro- questionnaires n'avaient pas été effectués; deux auto-questionnaires pratiqués n'étaient pas significatifs, en l'absence d'une corrélation clinique. La fatigabilité évoquée après 1h30 de tests correspondait à une fatigue habituelle. Les scores de mémoire étaient dans les normes. Si la tâche lecture était en dessous de celles-ci, cela pouvait correspondre aux difficultés d'apprentissage lorsqu'il était enfant. Une moins bonne attention auditive que visuelle était trouvée, ce qui ne correspondait pas à la plainte de l'assuré de ne pas arriver à mémoriser visuellement des boîtes aux lettres pour son travail. Globalement, les scores étaient ainsi dans les normes, à l'instar de l'IRM cérébrale réalisée en 2023, normale (selon relecture radiothérapique). Ces tests faits à 3 ans d'intervalle – sans que ne soit mis en évidence un facteur aggravant depuis le premier – ne montraient pas de trouble cognitif incapacitant. Le syndrome post-commotionné allégué par le psychiatre traitant, survenu à 10 ans, n'avait pas engendré de suivi médical ni eu d'impact fonctionnel jusque-là. L'experte se montrait d'accord avec une évaluation de légère à modérée pour l'atteinte cognitive. Il n'existait pas de limitation uniforme du niveau des activités dans tous les domaines de l'existence chez un assuré bénéficiant de bonnes relations familiales et amicales, et qui ne présentait aucune entrave fonctionnelle relativement aux tâches ménagères. Il possédait plusieurs passions, dont les jeux sur PC, le bricolage, y compris en microinformatique, et l'actualité. L'examen était dans la norme, et en conclusion, l'experte ne retrouvait aucune psychopathologie spécifique et incapacitante. La capacité de travail était entière depuis toujours sur le plan psychiatrique, de 100% dans l'activité habituelle ou dans toute autre. L'incapacité de travail était nulle. L'assuré était en mesure de travailler quotidiennement au maximum de l'horaire exigible. Sans perte de rendement. Une activité adaptée pour des motifs psychiatriques n'était pas requise. L'évolution était celle d'une absence de psychopathologie spécifique. Le pronostic était favorable. L'experte notait trois incohérences: la première, celle entre les plaintes de défaut de mémorisation et les compétences évaluées lors du bilan neuropsychologique, que ce soit en 2020 ou en 2023. Les scores de la mémoire, notamment, étaient dans la norme. La deuxième, il n'y avait pas de diagnostic psychiatrique incapacitant ressortant du dossier; seule une atteinte cognitive légère à modérée d'origine indéterminée était mentionnée. Malgré que l'atteinte était possiblement en lien avec un trauma crânien qui serait survenu, à 10 ans, il était constaté que l'assuré n'avait jamais été hospitalisé du fait de l'accident, ni suivi médicalement, en particulier pas par des neurologues, ni fait</w:t>
      </w:r>
    </w:p>
    <w:p>
      <w:r>
        <w:t>Tribunal cantonal TC Page 9 de 11 l'objet d'un bilan post-trauma; l'expertisé rapportait avoir alors connu des blocages du dos, sans autre répercussion, notamment pas neurologique ou psychiatrique. Troisièmement, la plainte d'intolérance au bruit apparaissait vague à l'anamnèse; en outre, certains bruits étaient dits non gênants, tels ceux des jeux ordinateurs auxquels il s'exposait au moins 5 heures par jour selon ses dires.</w:t>
      </w:r>
    </w:p>
    <w:p>
      <w:r>
        <w:rPr>
          <w:b/>
        </w:rPr>
        <w:t>E. 3.4</w:t>
      </w:r>
    </w:p>
    <w:p>
      <w:r>
        <w:t>La Cour soutient l'appréciation faite par l'experte des bilans neuropsychologiques effectués. Elle relève notamment que, selon celui de 2023, les difficultés étaient dites globalement légères; ce n'est qu'en intégrant la capacité fonctionnelle selon les éléments auto-rapportés qu'il était considéré qu'elles étaient susceptibles d'être plus marquées. Et il est peu probable que des séquelles – non établies – du traumatisme crânien, probablement un TTC léger, puissent expliquer ces difficultés. On pointera plutôt à cet égard la consommation d'alcool, même si elle semble plus contrôlée désormais, avec une certaine influence possible aussi sur la fatigabilité alléguée. Quant aux jeux sur ordinateur pratiqués durant des heures, quotidiennement, on admettra aussi un défaut de cohérence dans les plaintes de l'assuré dans la mesure où ils réclament manifestement une certaine acuité concentrative, mais aussi de la mémoire, ne serait-ce que pour l'aspect tactique et stratégique; or, l'assuré ne se plaint ni de fatigabilité les concernant, ni de défaut cognitif. Il en va de même de l'acquisition de connaissances informatiques, y compris dans le changement de pièces (microinformatique). La capacité fonctionnelle apparaît au demeurant légèrement limitée uniquement. Aucun problème de mémoire n'a été mis en évidence durant l'expertise. A titre d'exemple, l'experte relevait que, lors de l'évocation des tests neuropsychologiques, l'assuré s'était spontanément rappelé qu'ils n'avaient pas été identiques et avait donné des précisions à cet égard. Outre les explications fournies par l'experte quant à l'aspect vraisemblablement initial des difficultés cognitives, on peut y lier des déménagements fréquents avec la mère. Quoi qu'il en soit, l'atteinte cognitive présentée, objectivement essentiellement légère, est sans effet sur la capacité de travail. Quant à l'hypersensibilité aux bruits alléguée, outre son caractère fluctuant (impliquant notamment une survenance indéterminable), on relèvera un caractère vague dans la description de l'atteinte; en particulier, on ignore pourquoi elle est soudainement survenue, au retour au travail en 2020, sans que dans le même temps, une pathologie psychiatrique ne soit retenue. En outre, l'assuré s'adapte à certains bruits, tels ceux de jeux d'ordinateurs, auxquels il se soumet pourtant des heures durant, ou celui régnant dans des lieux publics (bistrot où il prend un café quotidiennement avec son père, centres commerciaux où il accompagne sa compagne malgré cette gêne décrite). Enfin, on notera que toute problématique incapacitante d'humeur, d'anxiété ou de personnalité, notamment, est exclue de façon convaincante par l'experte; et que le psychiatre traitant n'en diagnostique pas non plus. On soulignera aussi la légèreté du traitement psychiatrique nécessaire.</w:t>
      </w:r>
    </w:p>
    <w:p>
      <w:r>
        <w:rPr>
          <w:b/>
        </w:rPr>
        <w:t>E. 3.5</w:t>
      </w:r>
    </w:p>
    <w:p>
      <w:r>
        <w:t>Au vu de ce qui précède, sur la base également de l'absence d'uniformité des prétendues limitations fonctionnelles dans tous les domaines de la vie, ceux des tâches domestiques et des loisirs n'étant aucunement touchés, c'est à raison que sur le plan psychiatrique et neuropsychologique, l'experte-psychiatre a retenu l'absence de toute psychopathologie incapacitante ou invalidante. A ce stade, la Cour fait sien le seul diagnostic posé de consommation d'alcool nocive pour la santé, sans influence sur la capacité de travail (le psychiatre traitant partage cet avis), ainsi que les conclusions de l'experte quant à l'absence de toute psychopathologie. Il n'y a partant aucune incapacité de travail à retenir, la capacité est totale (100%), à plein temps et sans perte de rendement, ce tant du point de vue de l'activité professionnelle que de celui des activités de ménage.</w:t>
      </w:r>
    </w:p>
    <w:p>
      <w:r>
        <w:t>Tribunal cantonal TC Page 10 de 11</w:t>
      </w:r>
    </w:p>
    <w:p>
      <w:r>
        <w:rPr>
          <w:b/>
        </w:rPr>
        <w:t>E. 4</w:t>
      </w:r>
    </w:p>
    <w:p>
      <w:r>
        <w:t>Doit encore être déterminé si des pièces médicales jettent un doute sur l'expertise et ce qui précède.</w:t>
      </w:r>
    </w:p>
    <w:p>
      <w:r>
        <w:rPr>
          <w:b/>
        </w:rPr>
        <w:t>E. 4.1</w:t>
      </w:r>
    </w:p>
    <w:p>
      <w:r>
        <w:t>L'assuré n'en a produites aucune pour la période postérieure à cette dernière. Les examens et consultations supplémentaires qu'il a réclamés ont été refusés lorsqu'il est apparu qu'aucun élément nouveau ne les fondait et que l'OAI ne les demandait pas.</w:t>
      </w:r>
    </w:p>
    <w:p>
      <w:r>
        <w:rPr>
          <w:b/>
        </w:rPr>
        <w:t>E. 4.2</w:t>
      </w:r>
    </w:p>
    <w:p>
      <w:r>
        <w:t>Les pièces antérieures à l'expertise ont été relatées et appréciées dans celle-ci. Parmi ces pièces, on peut notamment examiner celles qui suivent. Le rapport de la Dre D.________, spécialiste en médecine interne, médecin référente de l'institution chargée de l'orientation et des mesures professionnelles, du 14 septembre 2022 (cf. dos. OAI 172), ne justifie pas de s'écarter de ce qui précède. Il est manifeste que les plaintes de l'assuré ont été reprises de façon importante (par exemple, fort traumatisme crânien, là où un spécialiste en neurologie et une experte en psychiatrie ne verront qu'un trouble léger). Quant au second bilan neuropsychologique qu'elle appelait de ses vœux, il n'a pas donné d'éléments objectifs propres à soutenir les limitations essentiellement alléguées par l'assuré. Dans son rapport de consultation du 9 août 2023 (cf. dos. OAI 251), la Dre E.________, neurologue, retient comme diagnostic principal une atteinte cognitive légère à modérée d'origine indéterminée en se basant sur l'IRM et le second bilan neuropsychologique. Selon elle, cette atteinte est associée à la fatigue et à une fatigabilité. L'IRM est normale (relecture). Le médecin n'est pas en mesure de déterminer avec précision la capacité de travail, mais considère qu'elle n'est actuellement pas entière et qu'il serait contre-productif de faire travailler l'assuré à 100%, tant sur le plan neurologique (cognitif) que psychique. A noter que la neurologue met l'accent sur la thymie de son patient, hors son champ de spécialité. Tous éléments qui ont été examinés et exclus par l'experte-psychiatre; il n'y a pas là de motif de revenir sur l'avis de celle-ci. Le Dr F.________ (cf. rapport du 17 juillet 2023, dos. OAI 242 et 245), psychiatre traitant, retient un syndrome post-commotionnel (F07.2) avec effet sur la capacité de travail. Lequel s'inscrit parmi les troubles organiques de la personnalité (F07.2). Un tel trouble se caractérise par une altération significative des modes de comportement qui étaient habituels au sujet avant la survenue de la maladie; les perturbations concernent, en particulier, l'expression des émotions, des besoins et des pulsions. Le tableau clinique peut, en outre, comporter une altération des fonctions cognitives. Or, on ne voit pas en l'espèce quel changement notable et durable de personnalité serait intervenu du fait du traumatisme crânien léger qu'aurait eu à 10 ans l'assuré. Qui n'a jamais consulté de spécialiste ou même de médecin généraliste après l'accident et jusqu'à tout le moins 2020. Ainsi que vu, ces difficultés légères ont probablement une autre source, initiale, et l'IRM est parfaitement normale – il n'y a donc pas de fondement organique à la prétendue atteinte; tout problème de personnalité a pu être écarté par l'experte au terme de son examen détaillé. En outre, le praticien se réfère, pour arrêter la capacité de travail à 40% au plus, au stage médico-professionnel effectué à Crescendo à ce taux du 22 août au 21 novembre 2022 (cf. dos. OAI 183), reprenant manifestement les seuls dires de son patient quant à une impossibilité de l'augmenter le stage suivant, à 60% (taux initialement tenu) puis 70%. Ce qui ne convainc pas, étant au demeurant souligné que les conclusions tirées de tels stages ne sont en soi pas déterminantes, dès lors que l'intéressé peut en influencer les résultats.</w:t>
      </w:r>
    </w:p>
    <w:p>
      <w:r>
        <w:t>Tribunal cantonal TC Page 11 de 11</w:t>
      </w:r>
    </w:p>
    <w:p>
      <w:r>
        <w:rPr>
          <w:b/>
        </w:rPr>
        <w:t>E. 4.3</w:t>
      </w:r>
    </w:p>
    <w:p>
      <w:r>
        <w:t>Au vu de ce qui précède, aucune pièce médicale ne jette un doute sur le contenu et les conclusions de l'expertise psychiatrique. Aucune incapacité de travail ou relativement aux tâches ménagères n'existant, un droit à des mesures professionnelles ou à une rente doit être nié.</w:t>
      </w:r>
    </w:p>
    <w:p>
      <w:r>
        <w:rPr>
          <w:b/>
        </w:rPr>
        <w:t>E. 5</w:t>
      </w:r>
    </w:p>
    <w:p>
      <w:r>
        <w:t>Il s'ensuit le rejet du recours et la confirmation de la décision attaquée. La procédure n'est pas gratuite. Des frais, par CHF 800.-, seront mis à la charge du recourant, qui succombe. Ils seront prélevés sur son avance de frais versée, du même montant. Des dépens ne seront pas alloués. la Cour arrête : I. Le recours est rejeté. II. Les frais de procédure, par CHF 800.-, sont mis à la charge du recourant et compensés par l'avance de frais du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mars 2025/djo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