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6 vom 9. Mai 2023</w:t>
      </w:r>
    </w:p>
    <w:p>
      <w:r>
        <w:t>FR Kantonsgericht, 2023-05-09, FR</w:t>
      </w:r>
    </w:p>
    <w:p>
      <w:r>
        <w:rPr>
          <w:b/>
        </w:rPr>
        <w:t xml:space="preserve">Quelle: </w:t>
      </w:r>
      <w:r>
        <w:t>https://mcp.opencaselaw.ch/entscheid/fr_gerichte_608_2023_6</w:t>
      </w:r>
    </w:p>
    <w:p>
      <w:r>
        <w:t>FR: FR_GERICHTE 608 2023 6 du 9 mai 2023</w:t>
      </w:r>
    </w:p>
    <w:p>
      <w:r>
        <w:t>IT: FR_GERICHTE 608 2023 6 del 9 maggio 2023</w:t>
      </w:r>
    </w:p>
    <w:p>
      <w:pPr>
        <w:pStyle w:val="Heading2"/>
      </w:pPr>
      <w:r>
        <w:t>Regeste</w:t>
      </w:r>
    </w:p>
    <w:p>
      <w:r>
        <w:t>Arrêt de la IIe Cour des assurances sociales du Tribunal cantonal | Invalidenversicherung</w:t>
      </w:r>
    </w:p>
    <w:p>
      <w:pPr>
        <w:pStyle w:val="Heading2"/>
      </w:pPr>
      <w:r>
        <w:t>Erwägungen</w:t>
      </w:r>
    </w:p>
    <w:p>
      <w:r>
        <w:rPr>
          <w:b/>
        </w:rPr>
        <w:t>E. 1.1</w:t>
      </w:r>
    </w:p>
    <w:p>
      <w:r>
        <w:t>Interjeté en temps utile et dans les formes légales auprès de l'autorité judiciaire compétente par un assuré directement touché par la décision attaquée et dûment représenté, le recours est recevable.</w:t>
      </w:r>
    </w:p>
    <w:p>
      <w:r>
        <w:rPr>
          <w:b/>
        </w:rPr>
        <w:t>E. 1.2</w:t>
      </w:r>
    </w:p>
    <w:p>
      <w:r>
        <w:t>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sont ici applicables, dans la mesure où un éventuel droit à la rente débuterait après le 1er janvier 2022.</w:t>
      </w:r>
    </w:p>
    <w:p>
      <w:r>
        <w:rPr>
          <w:b/>
        </w:rPr>
        <w:t>E. 2.1</w:t>
      </w:r>
    </w:p>
    <w:p>
      <w:r>
        <w:t>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w:t>
      </w:r>
    </w:p>
    <w:p>
      <w:r>
        <w:t>Tribunal cantonal TC Page 4 de 10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2.2</w:t>
      </w:r>
    </w:p>
    <w:p>
      <w:r>
        <w:t>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w:t>
      </w:r>
    </w:p>
    <w:p>
      <w:r>
        <w:rPr>
          <w:b/>
        </w:rPr>
        <w:t>E. 2.3</w:t>
      </w:r>
    </w:p>
    <w:p>
      <w:r>
        <w:t>D'après une jurisprudence constante, ce n'est pas l'atteinte à la santé en soi qui est assurée, ce sont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28b LAI, la quotité de la rente est fixée en pourcentage d’une rente entière (al. 1). Pour un taux d’invalidité compris entre 50 et 69%, la quotité de la rente correspond au taux d’invalidité (al. 2), et pour un taux d’invalidité supérieur ou égal à 70%, l’assuré a droit à une rente entière (al. 3). L'alinéa 4 détermine la quotité de la rente pour un taux d'invalidité entre 40% et 49%.</w:t>
      </w:r>
    </w:p>
    <w:p>
      <w:r>
        <w:rPr>
          <w:b/>
        </w:rPr>
        <w:t>E. 2.4</w:t>
      </w:r>
    </w:p>
    <w:p>
      <w:r>
        <w:t>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w:t>
      </w:r>
    </w:p>
    <w:p>
      <w:r>
        <w:t>Tribunal cantonal TC Page 5 de 10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 TF 9C_276/2015 du 10 novembre 2015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2.5</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w:t>
      </w:r>
    </w:p>
    <w:p>
      <w:r>
        <w:rPr>
          <w:b/>
        </w:rPr>
        <w:t>E. 2.6</w:t>
      </w:r>
    </w:p>
    <w:p>
      <w:r>
        <w:t>A teneur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des mesures de réinsertion préparant à la réadaptation professionnelle (art. 8 al. 3 let. abis LAI).</w:t>
      </w:r>
    </w:p>
    <w:p>
      <w:r>
        <w:t>Tribunal cantonal TC Page 6 de 10 Selon l'art. 14a LAI,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w:t>
      </w:r>
    </w:p>
    <w:p>
      <w:r>
        <w:rPr>
          <w:b/>
        </w:rPr>
        <w:t>E. 3</w:t>
      </w:r>
    </w:p>
    <w:p>
      <w:r>
        <w:t>Est en l'espèce litigieuse la question de la capacité de travail du recourant. Le revenu sans invalidité et celui avec invalidité ne sont pas contestés. Ils ont au demeurant été correctement calculés.</w:t>
      </w:r>
    </w:p>
    <w:p>
      <w:r>
        <w:rPr>
          <w:b/>
        </w:rPr>
        <w:t>E. 3.1</w:t>
      </w:r>
    </w:p>
    <w:p>
      <w:r>
        <w:t>Pour rendre sa décision, l'OAI s'est basé notamment sur l'expertise psychiatrique du 9 juin 2022 réalisée par le Dr C.________, spécialiste en psychiatrie et psychothérapie (dossier OAI p. 83). L'expert retient comme diagnostics, avec influence sur la capacité de travail, un syndrome de dyslexie, dysorthographie, dyscalculie (troubles mixtes des acquisitions scolaires; F81.3), une perturbation de l'attention sans perturbation de l'activité (F90.0) et d'autres troubles spécifiques de la personnalité immature, passif-dépendante, à traits anxieux (F60.8). Il estime ensuite que la capacité de travail est entière sans diminution de rendement dans toute activité simple, manuelle, répétitive, sans prise de responsabilité, et dans laquelle l'assuré dispose d'une certaine indépendance. Il constate que celui-ci dépend financièrement de ses parents et réalise de petits mandats pour pouvoir voyager au gré de ses envies. Une anhédonie, une aboulie ou un apragmatisme ne sont pas retenus. L'assuré présente depuis toujours des problèmes de sommeil, d'endormissement et de maintien, mais pas de suicidalité, ni de fatigabilité. Il est globalement souriant, assez égocentré, ne paraît pas vouloir s'imposer trop de contingences et d'obligations dans l'existence. En effet, il a un mode d'existence assez libre, en vivant chez ses parents et en voyageant au gré de ses envies. Objectivement, le recourant paraît très passif, immature et dépendant de ses parents, sans esprit compétitif et d'émulation. Il tolère également mal les critiques, les tensions, les conflits potentiels dans le monde du travail, la pression, et réagit par des mécanismes de fuite, d'évitements ou en tentant de faire porter le conflit et ses échecs à l'extérieur, afin de préserver globalement une bonne image de lui-même. De ce fait, il ne revendique pas souffrir de difficultés psychologiques, refuse un suivi psychiatrique et ne porte pas de regard critique sur son parcours personnel et professionnel, qui paraît pour lui un compromis satisfaisant. L'expert note également que les manifestations émotionnelles semblent superficielles et que les relations sentimentales paraissent aussi relativement immatures, sans engagement profond. Il n'y a pas d'impulsivité marquée, de conduite auto-dommageable, d'abus de substances psychoactives et de dépendance anaclitique. Il considère de ce fait l'assuré comme un sujet immature, avec des traits anxieux et passifs dépendants, mais ajoute que ce trouble de la personnalité n'est pas décompensé dès lors que le recourant ne semble pas souffrir de sa situation et reste assez autocentré, comme si tout lui était dû, telle sa demande de rente pour une "petite aide financière", selon ses déclarations. S'agissant du trouble de la personnalité, l'expert estime "se retrouver face à un assuré atteint dans son narcissisme. Néanmoins, malgré les difficultés rencontrées, l'enfance et l'adolescence sont pauvres en symptômes puisque A.________ donne probablement vis-à-vis de sa famille l'image d'un faux-self, en partie satisfaisant. L'assuré se fixe des objectifs, mène à bien différentes formations avec difficulté, mais celle[s]-ci sont rapidement abandonnées, disqualifiées, comme si le fait de devoir intégrer le monde professionnel était porteur de trop d'angoisses et de sentiments d'insuffisance. En raison du déni de la réalité intérieure, il développe, à travers des projections, des</w:t>
      </w:r>
    </w:p>
    <w:p>
      <w:r>
        <w:t>Tribunal cantonal TC Page 7 de 10 sentiments d'injustice. Il a beaucoup de peine à faire face aux frustrations et formule beaucoup d'exigence de la part de l'entourage, sans possibilité pour lui de temporisation ou de négociation. Il a certains idéaux excessifs, notamment dans la vitrerie, qui le conduisent à concevoir des projets trop ambitieux, qui ont tous mené à l'échec. A.________ n'a toutefois pas présenté de décompensation dépressive ou anxieuse, car dans une position relativement passive et infantile, il a investi seulement les activités et projets (petit atelier de vitrerie chez lui), divers voyages en Amérique du Sud, cours d'espagnol, assez valorisants narcissiquement et surtout sans contrainte, ni obligation". Il relève encore que l'assuré "a également un tempérament aussi anxieux, ce qui se manifeste par des difficultés à faire face au regard d'autrui, à accepter le jugement, la confrontation, ce qui entraîne chez lui, sous forme de passivité importante, des attitudes de fuite et d'évitement. La personnalité de l'assuré ne paraît pas décompensée. D'une certaine manière, il donne le sentiment de se sentir relativement en harmonie avec l'arrangement existentiel actuel". L'expert retient en conséquence "l'immaturité, un fonctionnement passif dépendant avec des traits anxieux". Le Dr C.________ atteste ensuite de l'absence d'arguments en faveur d'une symptomatologie dépressive ou anxieuse spécifique, psychotique ou maladie de la dépendance, l'assuré ne fumant plus de THC et n'étant pas dépendant des jeux vidéo. Du point de vue anxieux, il n'y a pas d'argument pour un trouble de l'anxiété généralisé ou un trouble panique tels que définis par le DSM-</w:t>
      </w:r>
    </w:p>
    <w:p>
      <w:r>
        <w:rPr>
          <w:b/>
        </w:rPr>
        <w:t>E. 3.2</w:t>
      </w:r>
    </w:p>
    <w:p>
      <w:r>
        <w:t>La Cour de céans ne voit pas de raisons de s'écarter des conclusions de l'expertise, qui a été correctement établie et est conforme aux réquisits jurisprudentiels. L'expert s'est en effet basé sur le dossier médical complet du recourant et l'a examiné personnellement avant d'établir son rapport. L'assuré a pu s'exprimer à chaque moment. Les conclusions sont par ailleurs claires et bien motivées. Le rapport a été établi en pleine connaissance de l'anamnèse, tient compte des plaintes exprimées par l'assuré et est le résultat d'examens complets.</w:t>
      </w:r>
    </w:p>
    <w:p>
      <w:r>
        <w:t>Tribunal cantonal TC Page 8 de 10 Par ailleurs, sur le fond, la Cour de céans ne voit pas non plus de raisons de s'écarter des conclusions de l'expert pour les motifs suivants. Seul un rapport médical antérieur à la décision litigieuse figure au dossier, soit celui du 6 décembre 2021 du Dr D.________ (dossier OAI p. 30). Ce médecin pose les diagnostics de troubles de la vidange vésicale d'origine psychogène, de terrain atopique, de dyslexie, de dysorthographie, de dyscalculie, de THADA et de troubles du sommeil majeurs chroniques. Ce rapport, qui n'émane pas d'un spécialiste en psychiatrie, a été pris en compte et discuté par l'expert-psychiatre. Celui-ci motive ainsi notamment pourquoi il s'écarte du diagnostic de THADA et retient une perturbation de l'attention sans perturbation de l'activité (F90.0). Il estime en outre que les troubles urinaires sont sans influence sur la capacité de travail. Le Dr F.________, spécialiste en psychiatrie et psychothérapie, qui suit le recourant depuis le 4 octobre 2022, n'a par ailleurs pas non plus retenu de THADA ou des troubles urinaires (rapport du 31 décembre 2022, dossier OAI p. 223). Les limitations fonctionnelles retenues par l'expert – activité simple, manuelle, répétitive, sans prise de responsabilité, et dans laquelle l'assuré dispose d'une certaine indépendance – correspondent de plus à celles du médecin traitant qui mentionne la nécessité d'un cadre calme, sécurisant, avec un temps accordé plus important pour effectuer des tâches simples. Partant, il n'y a pas lieu de s'écarter de la capacité de travail retenue par l'expert, au contraire de la capacité de travail de 50% dans toute activité posée par le Dr D.________ qui, elle, n'est pas justifiée. A noter encore que le médecin traitant estime qu'une réadaptation lui semble inutile dès lors que le recourant a des compétences suffisantes dans les métiers appris. Le rapport du 31 décembre 2022 du psychiatre traitant, postérieur à la décision attaquée, n'a en soi pas à être pris en compte. Quoi qu'il en soit, ce médecin diagnostique également un syndrome de dyslexie, dysorthographie, dyscalculie (troubles mixtes des acquisitions scolaires; F81.3) et de perturbation de l'attention sans perturbation de l'activité (F90.0), déjà posés par l'expert. Il retient aussi un épisode dépressif (F32.1) et une phobie sociale (F40.1). Or, l'expertise a expressément mentionné l'absence de véritable décompensation dépressive, en se basant notamment sur des hétéro-évaluations (tests Hamilton 17 et Hamilton anxiété), et non uniquement sur des auto- évaluations, contrairement au psychiatre traitant (Symptom check list, échelle de dépression de Beck, etc.). On constate d'ailleurs que l'absence de prise d'antidépresseurs et de suivi régulier avant le 4 octobre 2022 ne parle pas en faveur d'un tel trouble (cf. rapport du Dr D.________, qui indique voir le recourant tous les trois à quatre mois ou au besoin, dossier OAI p. 30). Le Dr C.________ n'a pas non plus retenu de phobie sociale, l'assuré ayant quelques amis, également à l'étranger, des contacts sociaux avec ses parents, mais aussi étant capable de voyager, de suivre des cours et de nouer des relations sentimentales à l'étranger. Enfin, le Dr G.________, spécialiste en psychiatrie et psychothérapie, médecin auprès du SMR BE/FR/SO, indique le 21 novembre 2022 que, si l'expert-psychiatre a retenu des diagnostics ayant un impact sur la capacité de travail de l'assuré, celui-ci dispose de ressources – puisqu'il a obtenu deux CFC et est capable de voyager à l'étranger durant plusieurs mois – lui permettant d'exercer à temps plein une activité simple, manuelle, répétitive et sans prise de responsabilité (dossier OAI p. 159; cf. également expertise, dossier OAI p. 85 et p. 89). Les reproches de l'assuré quant à l'expertise ne sont pas non plus de nature à en modifier les résultats. En effet, l'ensemble de ses troubles a bien été pris en compte, et, même si le recourant semble s'étonner que peu de questions lui aient été posées, notamment sur ses difficultés concrètes pendant son parcours scolaire et professionnel ou ses insomnies, force est de constater qu'elles</w:t>
      </w:r>
    </w:p>
    <w:p>
      <w:r>
        <w:t>Tribunal cantonal TC Page 9 de 10 ressortent des pièces du dossier, et notamment du rapport du 16 juin 2021 de E.________ (dossier OAI p. 34). Dans la mesure où ces rapports médicaux ne permettent pas de remettre en cause la capacité de travail entière dans une activité adaptée, compte tenu en outre des revenus de valide et d'invalide tels que fixés par l'OAI, c'est à juste titre que celui-ci a refusé toute prestation AI au recourant. Dans ces conditions, on doit conclure que la cause est suffisamment instruite et qu'une instruction complémentaire n'est pas nécessaire. 4. Le recourant a sollicité le bénéfice de l'assistance judiciaire totale (608 2023 7) dans le cadre de la présente procédure de recours. 4.1. 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4.2. Il convient d'examiner les deux conditions permettant l'octroi de l'assistance judiciaire gratuite, à savoir celle de la situation financière difficile et celle des chances de succès. S'agissant de la situation financière, il appert que l'assuré, qui vit chez ses parents, est actuellement sans emploi. Compte tenu du minimum vital pour une personne seule de CHF 1'500.- (soit CHF 1'200.- plus 25%) et des primes de l'assurance-maladie par CHF 466.80, ses charges se montent à CHF 1'966.80. Au 16 décembre 2022, il disposait d'une fortune d'environ CHF 33'500.-. Au vu de la durée écoulée depuis cette date (environ 4 mois), le recourant dispose encore d’une somme d’environ CHF 25'000.- (CHF 33'500.- moins CHF 2'000.- de charges pendant 4 mois). L’on ne saurait de plus considérer que ce montant constituerait entièrement sa « réserve de secours », laquelle s’apprécie en fonction des besoins futurs de l'indigent selon les circonstances concrètes de l'espèce, tel l'état de santé et l'âge du requérant, et dont le montant se situe, pour une personne seule, dans une fourchette de CHF 20'000.- à CHF 40'000.- (cf. arrêt TF 9C_147/2011 du 20 juin 2011 et les références citées; cf. également Métral, in Commentaire romand, LPGA, 2018, art. 61 n. 85, qui retient un montant entre CHF 10'000.- et CHF 20'000.- pour une personne seule). Au vu de l’âge du recourant (35 ans) et du fait qu’il vit chez ses parents sans alléguer leur verser de participation pour ses frais de logement et de nourriture, un montant maximum de CHF 20'000.- pourrait être retenu à ce titre, ce qui lui laisserait encore une somme disponible de CHF 5'000.-.</w:t>
      </w:r>
    </w:p>
    <w:p>
      <w:r>
        <w:t>Tribunal cantonal TC Page 10 de 10 Partant, le recourant dispose des ressources suffisantes pour supporter les frais de la procédure sans s’exposer à la privation des choses nécessaires à son existence. La requête doit par conséquent être rejetée, l'une des conditions cumulatives posées à l'octroi de l'assistance judiciaire faisant défaut. 4.3. La procédure n'étant pas gratuite, les frais de justice sont fixés à CHF 800.- et sont mis à la charge du recourant qui succombe. Succombant, l'assuré n'a pas droit à des dépens. la Cour arrête : I. Le recours (608 2023 6) est rejeté. II. La requête d'assistance judiciaire totale (608 2023 7) est rejetée. III. Les frais de procédure, par CHF 800.-, sont mis à la charge de A.________. IV. Il n'est pas octroyé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mai 2023/cso La Présidente La Greffière-rapporteure</w:t>
      </w:r>
    </w:p>
    <w:p>
      <w:r>
        <w:rPr>
          <w:b/>
        </w:rPr>
        <w:t>E. 5</w:t>
      </w:r>
    </w:p>
    <w:p>
      <w:r>
        <w:t>En effet, le recourant ne souffre pas de phobie simple, de claustro-agoraphobie, de phobie sociale, de phobie du sang ou d'un trouble obsessionnel compulsif. Il n'y a pas non plus d'argument en faveur d'un état de stress post-traumatique. L'assuré se sent néanmoins stressé parfois lorsqu'on lui met la pression. L'expert s'écarte par ailleurs du diagnostic de THADA retenu par le Dr D.________, spécialiste en médecine interne générale et médecin traitant du recourant (rapport du 6 décembre 2021, dossier OAI p. 30). Il constate que l'assuré présente, pour des raisons constitutionnelles et/ou acquises, une dyslexie, une dysorthographie et une dyscalculie qui l'ont fortement pénalisé lors de sa scolarité. De plus, dans le contexte d'un enfant probablement anxieux, avec de nombreux "dys" qui impactent l'estime de soi et les performances scolaires, le recourant présente peut-être des problèmes attentionnels permettant de retenir avec une certaine probabilité l'existence d'un THADA, avec troubles attentionnels prédominants, avec une réponse, semble-t-il, en partie favorable au traitement par méthylphénidate. L'expert relève que cela suggère une certaine dysharmonie et ajoute que les formes de THADA avec une inattention prédominante ne se retrouve, selon la littérature, que chez un cinquième des sujets. Il constate également que l'assuré a privilégié les activités et investissements personnels, les voyages au détriment du monde du travail et qu'il a trouvé ainsi un certain arrangement. Par ailleurs, les troubles urinaires sont relatifs, puisqu'il s'agit essentiellement de difficultés à uriner lorsqu'il y a quelqu'un à ses côtés, alors qu'il n'a aucun problème à domicile ou s'il s'enferme seul dans le WC. Enfin, l'expert déclare ne pas s'écarter de l'appréciation du bilan neuropsychologique de la psychologue de l'assuré, E.________ (rapport du 16 juin 2021, dossier OAI p.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