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29 vom 17. Mai 2023</w:t>
      </w:r>
    </w:p>
    <w:p>
      <w:r>
        <w:t>FR Kantonsgericht, 2023-05-17, FR</w:t>
      </w:r>
    </w:p>
    <w:p>
      <w:r>
        <w:rPr>
          <w:b/>
        </w:rPr>
        <w:t xml:space="preserve">Quelle: </w:t>
      </w:r>
      <w:r>
        <w:t>https://mcp.opencaselaw.ch/entscheid/fr_gerichte_608_2023_29</w:t>
      </w:r>
    </w:p>
    <w:p>
      <w:r>
        <w:t>FR: FR_GERICHTE 608 2023 29 du 17 mai 2023</w:t>
      </w:r>
    </w:p>
    <w:p>
      <w:r>
        <w:t>IT: FR_GERICHTE 608 2023 29 del 17 maggio 2023</w:t>
      </w:r>
    </w:p>
    <w:p>
      <w:pPr>
        <w:pStyle w:val="Heading2"/>
      </w:pPr>
      <w:r>
        <w:t>Regeste</w:t>
      </w:r>
    </w:p>
    <w:p>
      <w:r>
        <w:t>Arrêt de la IIe Cour des assurances sociales du Tribunal cantonal | Invalidenversicherung</w:t>
      </w:r>
    </w:p>
    <w:p>
      <w:pPr>
        <w:pStyle w:val="Heading2"/>
      </w:pPr>
      <w:r>
        <w:t>Erwägungen</w:t>
      </w:r>
    </w:p>
    <w:p>
      <w:r>
        <w:rPr>
          <w:b/>
        </w:rPr>
        <w:t>E. 1.1</w:t>
      </w:r>
    </w:p>
    <w:p>
      <w:r>
        <w:t>Interjeté en temps utile et dans les formes légales auprès de l'autorité judiciaire compétente par un assuré directement touché par la décision attaquée, le recours est recevable.</w:t>
      </w:r>
    </w:p>
    <w:p>
      <w:r>
        <w:rPr>
          <w:b/>
        </w:rPr>
        <w:t>E. 1.2</w:t>
      </w:r>
    </w:p>
    <w:p>
      <w:r>
        <w:t>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sont ici applicables, dans la mesure où un éventuel droit à la rente débuterait après le 1er janvier 2022.</w:t>
      </w:r>
    </w:p>
    <w:p>
      <w:r>
        <w:t>Tribunal cantonal TC Page 4 de 12</w:t>
      </w:r>
    </w:p>
    <w:p>
      <w:r>
        <w:rPr>
          <w:b/>
        </w:rPr>
        <w:t>E. 2</w:t>
      </w:r>
    </w:p>
    <w:p>
      <w:r>
        <w:t>Le recourant allègue tout d'abord que l'OAI ne donnerait pas une "motivation succincte et méticuleuse dans la décision". Il se plaint ainsi implicitement d'une violation de son droit d'être entendu.</w:t>
      </w:r>
    </w:p>
    <w:p>
      <w:r>
        <w:rPr>
          <w:b/>
        </w:rPr>
        <w:t>E. 2.1</w:t>
      </w:r>
    </w:p>
    <w:p>
      <w:r>
        <w:t>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TAF U 22/03 du 10 juillet 2003 consid. 3.3). Une condition nécessaire du droit de consulter le dossier est que l'autorité, lorsqu'elle verse au dossier de nouvelles pièces dont elle entend se prévaloir dans son jugement, soit tenue d'en aviser les parties. Encore qu'elle ne soit pas obligée de les renseigner sur chaque production de pièces, car il suffit qu'elle tienne le dossier à leur disposition (arrêt TAF I 250/02 du 25 octobre 2002 consid. 3.3).</w:t>
      </w:r>
    </w:p>
    <w:p>
      <w:r>
        <w:rPr>
          <w:b/>
        </w:rPr>
        <w:t>E. 2.2</w:t>
      </w:r>
    </w:p>
    <w:p>
      <w:r>
        <w:t>Le recourant ne justifie pas son grief relatif à un prétendu manque de motivation, sur lequel l'OAI ne s'est pas déterminé. Quoi qu'il en soit, la motivation de la décision attaquée suffit pour que le recourant puisse la comprendre et la contester, ce qu'il a d'ailleurs fait par le dépôt de son mémoire de recours dûment motivé sans avoir besoin de demander de pouvoir le compléter ultérieurement. Il faut dès lors constater qu'il n'y a pas eu de violation du droit d'être entendu du recourant.</w:t>
      </w:r>
    </w:p>
    <w:p>
      <w:r>
        <w:rPr>
          <w:b/>
        </w:rPr>
        <w:t>E. 3.1</w:t>
      </w:r>
    </w:p>
    <w:p>
      <w:r>
        <w:t>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3.2</w:t>
      </w:r>
    </w:p>
    <w:p>
      <w:r>
        <w:t>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w:t>
      </w:r>
    </w:p>
    <w:p>
      <w:r>
        <w:t>Tribunal cantonal TC Page 5 de 12 il est invalide (art. 8 LPGA) à 40% au moins. En vertu de l'art. 28b LAI, la quotité de la rente est fixée en pourcentage d’une rente entière (al. 1). Pour un taux d’invalidité compris entre 50 et 69%, la quotité de la rente correspond au taux d’invalidité (al. 2), et pour un taux d’invalidité supérieur ou égal à 70%, l’assuré a droit à une rente entière (al. 3). L'alinéa 4 détermine la quotité de la rente pour un taux d'invalidité entre 40% et 49%.</w:t>
      </w:r>
    </w:p>
    <w:p>
      <w:r>
        <w:rPr>
          <w:b/>
        </w:rPr>
        <w:t>E. 3.3</w:t>
      </w:r>
    </w:p>
    <w:p>
      <w:r>
        <w:t>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3.4</w:t>
      </w:r>
    </w:p>
    <w:p>
      <w:r>
        <w:t>Pour évaluer le taux d’invalidité, le revenu que l’assuré aurait pu obtenir s’il n’était pas invalide est comparé avec celui qu’il pourrait obtenir en exerçant l’activité qui peut raisonnablement</w:t>
      </w:r>
    </w:p>
    <w:p>
      <w:r>
        <w:t>Tribunal cantonal TC Page 6 de 12 être exigée de lui après les traitements et les mesures de réadaptation, sur un marché du travail équilibré (art. 16 LPGA).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w:t>
      </w:r>
    </w:p>
    <w:p>
      <w:r>
        <w:rPr>
          <w:b/>
        </w:rPr>
        <w:t>E. 3.5</w:t>
      </w:r>
    </w:p>
    <w:p>
      <w:r>
        <w:t>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117 V 198 consid. 4b et les références citées). À cet égard, une appréciation différente de la même situation médicale ne permet pas encore de conclure à l'existence d'une aggravation (ATF 112 V 371 consid. 2b; arrêt TF 9C_748/2013 du 10 février 2014 consid. 4.3 ; arrêt TFA I 716/2003 du 9 août 2004 consid. 4.1.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 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(arrêts TF 9C_881/2007 du 22 février 2008 consid. 2.2 et 9C_708/2007 du 11 septembre 2008 consid. 2.2). Le principe inquisitoire, selon lequel les faits pertinents de la cause doivent être constatés d'office par l'autorité (art. 43 al. 1 LPGA), ne s'applique pas à la procédure de l'art. 87 al. 3 RAI (ATF 130 V 64 consid. 5.2.5). Eu égard au caractère atypique de celle-ci dans le droit des assurances sociales, le Tribunal fédéral a précisé que l'administration pouvait appliquer par analogie l'art. 73 aRAI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(art. 5 al. 3 et 9 de la Constitution fédérale de la Confédération suisse du 18 avril 1999 [Cst.; RS 101]; ATF 124 II 265 consid. 4a).</w:t>
      </w:r>
    </w:p>
    <w:p>
      <w:r>
        <w:t>Tribunal cantonal TC Page 7 de 12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w:t>
      </w:r>
    </w:p>
    <w:p>
      <w:r>
        <w:rPr>
          <w:b/>
        </w:rPr>
        <w:t>E. 4</w:t>
      </w:r>
    </w:p>
    <w:p>
      <w:r>
        <w:t>Est en l'espèce litigieuse la question de savoir si l'état de santé du recourant s'est péjoré de manière à influencer ses droits depuis la dernière décision.</w:t>
      </w:r>
    </w:p>
    <w:p>
      <w:r>
        <w:rPr>
          <w:b/>
        </w:rPr>
        <w:t>E. 4.1</w:t>
      </w:r>
    </w:p>
    <w:p>
      <w:r>
        <w:t>La dernière décision entrée en force reposant sur un examen matériel du droit à la rente est la décision de refus du 27 avril 2017, qui a été confirmée par la Cour de céans le 20 septembre 2017. Dans son arrêt (dossier OAI p. 128), la Cour de céans a retenu que, si le recourant souffrait certes de douleurs au dos, aucun médecin ne retenait une incapacité de travail dans une activité adaptée. Elle a de plus relevé que les affirmations subjectives du recourant quant au ressenti des douleurs ne suffisaient manifestement pas pour contredire l'avis unanime des médecins qui excluaient uniquement des activités comportant des travaux lourds, des positions statiques ou des mouvements répétitifs du thorax. En particulier, les différents médecins ont attesté que l'assuré souffrait de dorso-lombalgies chroniques sur lésions dégénératives discrètes (discopathie L5-S1), une discrète hernie discale médiane sans conflit radiculaire L5-S1, des dysbalances musculaires ainsi qu'un excès pondéral. Ils ont également retenu les limitations fonctionnelles suivantes: absence de port de charges répétitifs supérieur à 10kg – 15kg, de mouvements répétitifs du thorax avec rotation vers la gauche et la droite, de position statique assis ou debout et de travail en zone basse. Partant, le recourant pouvait exercer une activité adaptée – à savoir non contraignante pour le dos et notamment sans port répétitif de lourdes charges – à 100% sans diminution de rendement.</w:t>
      </w:r>
    </w:p>
    <w:p>
      <w:r>
        <w:rPr>
          <w:b/>
        </w:rPr>
        <w:t>E. 4.2</w:t>
      </w:r>
    </w:p>
    <w:p>
      <w:r>
        <w:t>Après la décision du 27 avril 2017, la situation a évolué de la manière suivante. Force est d'emblée de constater que plusieurs médecins qui ont rédigé les rapports figurant au dossier ne se prononcent pas ou pas précisément quant à la capacité de travail. Tel est le cas de la Dre C.________, spécialiste en médecine interne générale et médecin traitante du recourant, qui le 13 avril 2022 ne se détermine pas sur la capacité (dossier OAI p. 149), puis indique en octobre 2022 qu'elle ne peut l'évaluer ni dans l'activité habituelle ni dans une activité adaptée, tout en se contredisant dans ce même rapport en mentionnant qu'une activité adaptée est exigible au moins</w:t>
      </w:r>
    </w:p>
    <w:p>
      <w:r>
        <w:t>Tribunal cantonal TC Page 8 de 12 4h par jour sans diminution de rendement (rapport du 11 octobre 2022, dossier OAI p. 176 et p. 194). Le Dr D.________, spécialiste en gastroentérologie et médecine interne générale (rapport du 19 mai 2022, dossier OAI p. 180), le Dr E.________, spécialiste en anesthésiologie et traitement interventionnel de la douleur (rapport du 24 août 2021, dossier OAI p. 183), la Dr F.________, spécialiste en rhumatologie, médecine physique et réadaptation et médecine interne générale (rapport du 28 janvier 2021, dossier OAI p. 186), la Dre G.________, spécialiste en pneumologie et médecine interne générale (rapport du 23 avril 2020, dossier OAI p. 188) et le Prof. Dr méd. H.________, spécialiste en neurochirurgie (rapport du 19 mars 2019, dossier OAI p. 193), ne se prononcent quant à eux pas sur la capacité de travail. Enfin, la Dre I.________, gastroentérologue estime que l'activité habituelle, qu'elle indique ne pas connaître, n'est plus exigible et que la capacité dans une activité adaptée doit être réévaluée (rapport du 28 juin 2022, dossier OAI p. 166). De plus, si les diagnostics de dorso-lombalgies chroniques sur lésions dégénératives discrètes (discopathie L5-S1), de discrète hernie discale médiane sans conflit radiculaire L5-S1, de dysbalances musculaires et d'excès pondéral sont toujours présents, il ne ressort pas des pièces du dossier qu'ils se seraient aggravés, aucun médecin ne s'exprimant à ce sujet (rapports précités de la Dre C.________, du Dr E.________, de la Dre F.________ et du Prof. Dr méd. H.________). Les nouveaux diagnostics posés n'ont par ailleurs pas d'influence sur la capacité de travail. Tel est le cas de l'hypertension artérielle sévère et du diabète selon la Dre C.________, qui ne fait par ailleurs plus mention d'allergies chroniques après son rapport du 13 avril 2022. S'agissant de l'apnée obstructive du sommeil sévère, la Dre G.________ n'indique pas que le traitement mis en place serait inefficace; il ne ressort pas non plus des rapports médicaux que le recourant se plaindrait notamment de somnolence ou de fatigue diurnes qui font partie de la définition du trouble (cf. Le syndrome d’apnées obstructives du sommeil, article du Dr Raphael Heinzer et du Prof. méd. John- David Aubert du Service de Pneumologie du CHUV, consulté le 5 mai 2023 à l’adresse https://www.chuv.ch/fileadmin/sites/cirs/documents/pdf_article_forum.pdf). Cette spécialiste indique par ailleurs que la dyspnée d'effort avec/sur syndrome restrictif léger à modéré est clairement en lien avec l'obésité de l'assuré. Enfin, la recto-colite ulcéro-hémorragique évolue favorablement selon le Dr D.________, qui précise que la situation s'est bien calmée et que l'assuré va à selles seulement 2 à 3 fois par jour; la spondylarthrite est exclue par la Dre F.________ et la méralgie paresthétique droite, qui n'est que probable, est de faible gravité et susceptible d'être traitée selon le Dr J.________, spécialiste en médecine interne générale et médecin du SMR (rapport du 18 novembre 2022, dossier OAI p. 197). Seule la Dre C.________ se prononce ensuite quant aux limitations fonctionnelles dans son rapport du 11 octobre 2022 (dossier OAI p. 176 et 194). Elle retient l'absence de port de charge supérieur à 10-15kg, de mouvements répétitifs du dos, une position assise et debout de maximum 4h par jour, l'absence de position à genoux et d'inclinaison du buste, la nécessité d'alterner les positions et celle d'aller souvent aux toilettes. Or, ces limitations fonctionnelles sont sensiblement les mêmes que celles retenues dans la décision du 27 avril 2017, à l'exception de celle d'aller souvent aux toilettes. S'agissant enfin de l'herniectomie subie en février 2018, seul le Dr E.________ en discute dans son rapport du 24 août 2021 (dossier OAI p. 183), la Dre C.________ et le Prof. Dr méd. H.________ en faisant uniquement mention. Le Dr E.________ relève une amélioration des parésies du membre inférieur gauche, mais aucune ou très peu d'évolution au niveau des plaintes douloureuses. Il y a dès lors lieu de constater l'absence d'aggravation, voire une légère amélioration de l'état de santé à ce niveau.</w:t>
      </w:r>
    </w:p>
    <w:p>
      <w:r>
        <w:t>Tribunal cantonal TC Page 9 de 12 Dans ces conditions, il n'y a pas lieu de s'écarter de l'avis du médecin du SMR, qui estime qu'une activité adaptée reste exigible, en ajoutant aux limitations fonctionnelles déjà retenues la nécessité d'avoir un accès facile aux WC.</w:t>
      </w:r>
    </w:p>
    <w:p>
      <w:r>
        <w:rPr>
          <w:b/>
        </w:rPr>
        <w:t>E. 4.3</w:t>
      </w:r>
    </w:p>
    <w:p>
      <w:r>
        <w:t>Le recourant est ainsi toujours en mesure d'exercer une activité adaptée respectant les limitations fonctionnelles – absence de port de charges répétitifs supérieur à 10-15kg, de mouvements répétitifs du thorax avec rotation vers la gauche et la droite, de position statique assis ou debout et de travail en zone basse et accès facilité aux toilettes – à plein temps sans diminution de rendement. Il ne conteste par ailleurs ni le revenu de valide, ni celui d'invalide, ni le degré d'invalidité qui résulte de la comparaison des deux revenus, éléments qui ont au demeurant été correctement établis. Par conséquent, l'état de santé de l'assuré ne s'est pas modifié de manière à influencer ses droits.</w:t>
      </w:r>
    </w:p>
    <w:p>
      <w:r>
        <w:rPr>
          <w:b/>
        </w:rPr>
        <w:t>E. 5</w:t>
      </w:r>
    </w:p>
    <w:p>
      <w:r>
        <w:t>Le recourant soutient ensuite que les troubles dont il souffre réduiraient ses chances de trouver un emploi et que l'autorité intimée ne se référerait pas à la réalité mais à "une projection abstraite qui ne correspond ni à la réalité sanitaire ni à la possibilité de la part du recourant […] à décrocher réellement une activité".</w:t>
      </w:r>
    </w:p>
    <w:p>
      <w:r>
        <w:rPr>
          <w:b/>
        </w:rPr>
        <w:t>E. 5.1</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w:t>
      </w:r>
    </w:p>
    <w:p>
      <w:r>
        <w:rPr>
          <w:b/>
        </w:rPr>
        <w:t>E. 5.2</w:t>
      </w:r>
    </w:p>
    <w:p>
      <w:r>
        <w:t>Il résulte de ce qui précède que l'OAI n'a pas à examiner si le recourant peut effectivement trouver un emploi, mais doit uniquement se demander si celui-ci pourrait encore exploiter</w:t>
      </w:r>
    </w:p>
    <w:p>
      <w:r>
        <w:t>Tribunal cantonal TC Page 10 de 12 économiquement sa capacité résiduelle de travail lorsque les places de travail disponibles correspondent à l'offre de la main d'œuvre. Or, rien n'indique qu'un emploi adapté, tel qu'ouvrier dans l'industrie légère ou les services comme indiqué par l'OAI, ne pourrait être trouvé. On doit par ailleurs admettre que ces domaines contiennent un très large panel d'activités adaptées aux limitations de l'assuré, peu nombreuses et somme toute très conventionnelles.</w:t>
      </w:r>
    </w:p>
    <w:p>
      <w:r>
        <w:rPr>
          <w:b/>
        </w:rPr>
        <w:t>E. 6</w:t>
      </w:r>
    </w:p>
    <w:p>
      <w:r>
        <w:t>L'assuré conclut pour terminer à "la prise en charge médicale des soins et de la médication ordonnée par les médecins". Même si l'OAI n'a pas formellement décidé du refus de telles prestations, condition à la recevabilité du recours, la Cour précise à ce sujet ce qui suit. La prise en charge demandée ne fait pas partie des prestations prévues par la LAI, qui visent à prévenir, réduire ou éliminer l’invalidité grâce à des mesures de réadaptation appropriées, simples et adéquates, à compenser les effets économiques permanents de l’invalidité en couvrant les besoins vitaux dans une mesure appropriée et à aider les assurés concernés à mener une vie autonome et responsable (art. 1a LAI). En effet, seuls les traitements qui sont directement nécessaires à la réadaptation et qui sont notamment de nature à améliorer de façon durable et importante la capacité de gain ou à la préserver d'une diminution notable s'inscrivent au sein des mesures médicales; celles qui ont pour objet le traitement de l'affection comme telle incombent par contre à l'assurance-maladie (Commentaire romand, LPGA, 2018, art. 14 n° 19). Dès lors que les soins et les médicaments prescrits par les médecins ont visiblement, en l'absence d'indication contraire, pour seul but de traiter les différents troubles de l'assuré et non d'améliorer ou préserver la capacité de travail, ils n'ont pas à être mis à la charge de l'assurance-invalidité.</w:t>
      </w:r>
    </w:p>
    <w:p>
      <w:r>
        <w:rPr>
          <w:b/>
        </w:rPr>
        <w:t>E. 7.1</w:t>
      </w:r>
    </w:p>
    <w:p>
      <w:r>
        <w:t>Au vu de ce qui précède, le recours doit être intégralement rejeté dans la mesure de sa recevabilité et la décision litigieuse confirmée.</w:t>
      </w:r>
    </w:p>
    <w:p>
      <w:r>
        <w:rPr>
          <w:b/>
        </w:rPr>
        <w:t>E. 7.2</w:t>
      </w:r>
    </w:p>
    <w:p>
      <w:r>
        <w:t>L'assuré requiert l'octroi de l'assistance judiciaire totale (608 2023 30) pour la procédure de recours.</w:t>
      </w:r>
    </w:p>
    <w:p>
      <w:r>
        <w:rPr>
          <w:b/>
        </w:rPr>
        <w:t>E. 7.2.1</w:t>
      </w:r>
    </w:p>
    <w:p>
      <w:r>
        <w:t>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w:t>
      </w:r>
    </w:p>
    <w:p>
      <w:r>
        <w:t>Tribunal cantonal TC Page 11 de 12 sûretés (al. 1 let. b). Elle comprend également, si la difficulté de l'affaire la rend nécessaire, la désignation d'un défenseur, choisi parmi les personnes habilitées à représenter les parties (al. 2).</w:t>
      </w:r>
    </w:p>
    <w:p>
      <w:r>
        <w:rPr>
          <w:b/>
        </w:rPr>
        <w:t>E. 7.2.2</w:t>
      </w:r>
    </w:p>
    <w:p>
      <w:r>
        <w:t>Il convient d'examiner les deux conditions permettant l'octroi de l'assistance judiciaire gratuite, à savoir celle de la situation financière difficile et celle des chances de succès. S'agissant de la situation financière, il appert que l'assuré, à l'aide sociale, ne dispose manifestement pas des ressources suffisantes pour supporter les frais de procédure sans s'exposer à la privation des choses nécessaires à son existence. Il peut en outre être admis, même s’il s’agit d’un cas limite, que le recours n'était pas d'emblée dénué de chances de succès. Dans ces conditions, l'assistance judiciaire partielle est octroyée au recourant.</w:t>
      </w:r>
    </w:p>
    <w:p>
      <w:r>
        <w:rPr>
          <w:b/>
        </w:rPr>
        <w:t>E. 7.3</w:t>
      </w:r>
    </w:p>
    <w:p>
      <w:r>
        <w:t>La procédure n'étant pas gratuite, les frais de justice sont fixés à CHF 800.- et sont mis à la charge du recourant qui succombe. Ils ne lui sont toutefois pas réclamés en raison de l'assistance judiciaire totale octroyée ce jour, sous réserve d'un retour ultérieur à meilleure fortune au sens de l'art. 145b al. 3 CPJA. (dispositif en page suivante)</w:t>
      </w:r>
    </w:p>
    <w:p>
      <w:r>
        <w:t>Tribunal cantonal TC Page 12 de 12 la Cour arrête : I. Le recours (608 2023 29) est rejeté dans la mesure de sa recevabilité. II. La requête d'assistance judiciaire partielle (608 2023 30) est admise. III. Les frais de procédure, par CHF 800.-, sont mis à la charge de A.________. Ils ne lui sont toutefois pas réclamés en raison de l'assistance judiciaire accordée.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mai 2023/cso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