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2023 128 vom 2. Juli 2024</w:t>
      </w:r>
    </w:p>
    <w:p>
      <w:r>
        <w:t>FR Kantonsgericht, 2024-07-02, FR</w:t>
      </w:r>
    </w:p>
    <w:p>
      <w:r>
        <w:rPr>
          <w:b/>
        </w:rPr>
        <w:t xml:space="preserve">Quelle: </w:t>
      </w:r>
      <w:r>
        <w:t>https://mcp.opencaselaw.ch/entscheid/fr_gerichte_608_2023_128</w:t>
      </w:r>
    </w:p>
    <w:p>
      <w:r>
        <w:t>FR: FR_GERICHTE 608 2023 128 du 2 juillet 2024</w:t>
      </w:r>
    </w:p>
    <w:p>
      <w:r>
        <w:t>IT: FR_GERICHTE 608 2023 128 del 2 luglio 2024</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une assurée directement touchée par la décision attaquée et dûment représentée, le recours est recevable.</w:t>
      </w:r>
    </w:p>
    <w:p>
      <w:r>
        <w:rPr>
          <w:b/>
        </w:rPr>
        <w:t>E. 2</w:t>
      </w:r>
    </w:p>
    <w:p>
      <w:r>
        <w:t>Par un premier argument, la recourante reproche à l'OAI d'avoir rendu la décision litigieuse sans attendre le résultat du stage de réadaptation, alors même qu'elle l'avait annoncé dans ses objections au projet de décision, ce qui constitue selon elle une violation de son droit d'être entendue.</w:t>
      </w:r>
    </w:p>
    <w:p>
      <w:r>
        <w:rPr>
          <w:b/>
        </w:rPr>
        <w:t>E. 2.1</w:t>
      </w:r>
    </w:p>
    <w:p>
      <w:r>
        <w:t>Le droit d'être entendu est une garantie constitutionnelle de caractère formel (art. 29 al. 2 de la Constitution fédérale de la Confédération suisse du 18 avril 1999 [Cst.; RS 101]), dont la violation doit entraîner l'annulation de la décision attaquée, indépendamment des chances de succès du recourant sur le fond. La jurisprudence a notamment déduit du droit d'être entendu (art. 29 al. 2 Cst.),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142 III 48 consid. 4.1.1; 141 V 557 consid. 3; 135 I 279 consid. 2.3; arrêt TAF A-8271/2015 du 29 août 2016 consid. 3.1.2). Le droit d'être entendu impose en outre à l'autorité de motiver clairement sa décision (ATF 134 I 83 consid. 4.1; 133 III 439 consid. 3.3; arrêt TF 4A_408/2010 du 7 octobre 2010 consid. 2.1; arrêt TAF A-5228/2016 du 25 avril 2017 consid. 3.2.1).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w:t>
      </w:r>
    </w:p>
    <w:p>
      <w:r>
        <w:t>Tribunal cantonal TC Page 4 de 14 dernières ne pourraient l'amener à modifier son opinion (ATF 140 I 285 consid. 6.3.1 et les arrêts cités). On rappellera que le refus d'instruire ne viole le droit d'être entendu des parties que si l'appréciation anticipée de la pertinence du moyen de preuve offert, à laquelle le juge a procédé, est entachée d'arbitraire (ATF 144 II 427 consid. 3.1.3; 141 I 60 consid. 3.3).</w:t>
      </w:r>
    </w:p>
    <w:p>
      <w:r>
        <w:rPr>
          <w:b/>
        </w:rPr>
        <w:t>E. 2.2</w:t>
      </w:r>
    </w:p>
    <w:p>
      <w:r>
        <w:t>En l'espèce, l'OAI a notifié un projet de décision en date du 23 mars 2023. Dans ses objections à l'encontre dudit projet, le 11 mai suivant, la recourante a notamment évoqué le stage d'évaluation auquel elle avait décidé de participer le mois suivant. Elle demandait à l'OAI d'attendre l'issue de cette mesure avant de trancher. Ce dernier a néanmoins rendu sa décision le 4 août 2023, sans attendre le rapport de stage. Dans la mesure où la décision litigieuse est correctement motivée et qu'elle permet de saisir les motifs sur lesquels l'OAI s'est basé pour statuer, on doit admettre que le droit d'être entendue de la recourante a été respecté. D'autant que, pour se prononcer, l'autorité s'est fondée sur le contenu d'une expertise pluridisciplinaire, laquelle avait précisément pour but d'éclaircir l'étendue des problématiques d'ordre somatique et psychique et leur influence exacte sur la capacité de travail de l'assurée (cf. rapport SMR du 15 juillet 2022; dossier AI p. 63). L'appréciation qui a conduit l'autorité intimée à écarter ce moyen de preuve et à renoncer à une instruction complémentaire est par conséquent dénuée d'arbitraire. Plus qu'un défaut de motivation, découlant du droit d'être entendu, la recourante critique le fait pour l'OAI d'avoir statué sur la base du dossier en sa possession, sans donner suite à la proposition de preuve faite dans ses objections. Ce grief se confond avec le grief de violation de l’obligation d’instruire (art. 43 LPGA), qui relève du fond et sera examiné à la lumière des griefs d'ordre matériel soulevés par la recourante (cf. infra consid. 5). Le grief tiré de la violation du droit d'être entendu doit dès lors être écarté.</w:t>
      </w:r>
    </w:p>
    <w:p>
      <w:r>
        <w:rPr>
          <w:b/>
        </w:rPr>
        <w:t>E. 3</w:t>
      </w:r>
    </w:p>
    <w:p>
      <w:r>
        <w:t>Dans le cadre du développement continu de l'AI, la loi du 19 juin 1959 sur l'assurance invalidité (LAI; RS 831.20), le règlement du 17 janvier 1961 sur l’assurance-invalidité (RAI; RS 831.201) et la loi du</w:t>
      </w:r>
    </w:p>
    <w:p>
      <w:r>
        <w:rPr>
          <w:b/>
        </w:rPr>
        <w:t>E. 6</w:t>
      </w:r>
    </w:p>
    <w:p>
      <w:r>
        <w:t>Amenée à statuer, la Cour de céans retient ce qui suit:</w:t>
      </w:r>
    </w:p>
    <w:p>
      <w:r>
        <w:rPr>
          <w:b/>
        </w:rPr>
        <w:t>E. 6.1</w:t>
      </w:r>
    </w:p>
    <w:p>
      <w:r>
        <w:t>La décision litigieuse se fonde principalement sur les conclusions des experts de C.________, à savoir le Dr F.________, le Dr G.________ et la Dre E.________. Le rapport rédigé par ces derniers répond aux exigences jurisprudentielles en la matière: il a été effectué en pleine connaissance du dossier et sur la base d'examens complets; les experts ont pris en considération les plaintes exprimées par l'assurée et les points litigieux ont été discutés; le contexte médical est clairement décrit et les conclusions sont dûment motivées. En substance, les experts admettent la présence d'une problématique rhumatologique (possible spondylarthropathie et trouble somatoforme douloureux) justifiant une diminution de la capacité de travail de la recourante, entière dans l'ancienne activité et de 20% dans une activité légère adaptée. Sous l'angle psychiatrique, diverses pathologies sont retenues (trouble à symptomatologie somatique/syndrome de détresse physique léger ainsi que trouble de stress post-traumatique), mais sans que celles-ci n'entraînent de réelles limitations fonctionnelles. Quant à l'examen de médecine interne, il est considéré comme étant dans la norme. Ces explications, fondées notamment sur un examen attentif du dossier et en particulier des déclarations de l'assurée et de son anamnèse, ont obtenu l'aval du médecin SMR. Partant, l'expertise peut se voir reconnaître formellement pleine valeur probante. Reste à savoir ce qu'il en est matériellement.</w:t>
      </w:r>
    </w:p>
    <w:p>
      <w:r>
        <w:rPr>
          <w:b/>
        </w:rPr>
        <w:t>E. 6.2</w:t>
      </w:r>
    </w:p>
    <w:p>
      <w:r>
        <w:t>Dans son recours, l'assurée soulève divers éléments qui conduisent selon elle à douter de la valeur probante de l'expertise de C.________ et à privilégier l'avis de ses médecins traitants. Elle invoque tout d'abord le fait que l'expert en psychiatrie retient une pleine capacité de travail dans toute activité, en dépit de diagnostics relativement graves. Sous l'angle de la médecine interne, le fait que l'expert doute d'une possible réadaptation en raison de la non-maîtrise du français revient d'après elle à tenir compte d'un facteur extra-médical. Enfin, le fait que "les trois experts C.________ considèrent les rapports des médecins traitants cohérents et plausibles, mais les conclusions concernant la capacité de travail de la recourante ne sont pas identiques" justifie selon elle de s'écarter de leurs conclusions. Elle critique en particulier le volet rhumatologique, dans lequel l'experte a relevé le manque de cohérence entre les douleurs alléguées et les constats cliniques. Elle insiste sur le fait que son comportement a jusqu'alors été considéré comme "adéquat, collaborant et pas démonstratif ni majorant" et que les examens sur lesquels se fonde l'experte n'étaient pas à jour et auraient mérité d'être répétés. Se fondant sur ses plaintes, sur les derniers examens de ses médecins traitants ainsi que sur la tentative de réadaptation en atelier protégé, elle considère ne pas être en mesure de travailler sur un marché équilibré.</w:t>
      </w:r>
    </w:p>
    <w:p>
      <w:r>
        <w:rPr>
          <w:b/>
        </w:rPr>
        <w:t>E. 6.3</w:t>
      </w:r>
    </w:p>
    <w:p>
      <w:r>
        <w:t>Il convient d'admettre que les experts admettent effectivement que les rapports des médecins traitants sont globalement cohérents et plausibles, de même que l'attitude de la recourante lors des entretiens a été adéquate et collaborante, sans notion de majoration ni de démonstrativité. Le fait que ces mêmes experts parviennent malgré tout à un résultat différent s'agissant de l'évaluation de la capacité de travail de l'assurée ne remet pas en cause la valeur probante de l'expertise, dès lors qu'ils expliquent de manière détaillée les raisons pour lesquelles ils considèrent que l'expertisée dispose encore d'une capacité de travail significative dans une activité adaptée.</w:t>
      </w:r>
    </w:p>
    <w:p>
      <w:r>
        <w:t>Tribunal cantonal TC Page 11 de 14 S'agissant en particulier du volet rhumatologique, on constate que si l'experte évoque certes l'éventualité de certains compléments ("une IRM pourrait être réalisée", "un dosage de la CRP pourrait également être effectué"), on ne saurait toutefois lui reprocher de ne pas avoir entrepris elle- même de tels examens, qui dépassent le mandat qui lui est attribué. Il ressort en effet clairement de son rapport que, sur la base des éléments en sa possession, la présence (active) d'une atteinte inflammatoire ne pouvait pas être confirmée. L'experte s'est en cela fondée sur de nombreux indices: HLA-B27 absent, images radiologiques peu concluantes, questionnaires d'auto-évaluation pas déterminants dans le contexte d'un syndrome douloureux chronique, examen clinique sans signes prégnants d'inflammation (pas de lésion cutanée, articulations périphériques calmes, sans tuméfaction ni limitation de mobilité), inefficacité des traitements de fond. Dans ce contexte, la Cour ne trouve rien à redire lorsque l'experte, tout en admettant qu'il n'y a pas d'incohérence, retient une discordance entre les plaintes alléguées et le manque d'éléments objectifs. Dans le même ordre d'idées, plutôt que de critiquer l'absence d'examens à jour, l'assurée, respectivement ses médecins traitants, auraient pu (et dû) entreprendre les examens nécessaires, ce qui leur aurait permis d'actualiser le dossier et de combler d'éventuelles lacunes, selon eux, pour appuyer leurs conclusions. D'autant que, en octobre 2021, le diagnostic de spondylarthropathie était (encore) considéré comme probable par lesdits médecins (dossier AI p. 198). Dans ce contexte, le rapport produit à l'appui du recours (dossier AI p. 272), laissant entendre que le diagnostic en question est désormais établi, est peu convaincant, précisément en raison de l'absence de toute imagerie récente susceptible de l'appuyer objectivement et avec pour principale justification les sensations douloureuses de la patiente. Ce défaut ne saurait être ensuite imputé à l'experte en rhumatologie, laquelle a parfaitement répondu à ses exigences sous cet angle. D'autant que, comme cette dernière l'a d'ailleurs relevé dans son rapport complémentaire du 22 juin 2023, les limitations fonctionnelles retenues par ses soins se recoupent en grande partie avec celles décrites par la rhumatologue traitante en juillet 2021 ("dans ce contexte de spondylarthrite axiale, elle est limitée pour ses activités en ce qui concerne les mouvements en porte-à-faux, le port de charges lourdes excédant les 5 kg et loin du corps de manière répétitive, les mouvements répétitifs du tronc, que ce soit en flexion, extension, inclinaison et rotation du tronc, les positions stationnaires prolongées de plus de 30 minutes, que ce soit debout, assis ou couché"). La Cour relève à cet égard que des limitations semblables figurent dans le rapport de septembre 2023 remis à l'appui du recours: "La patiente présente des limitations dans ses activités, notamment en ce qui concerne les mouvements en porte-à-faux, le port de charges lourdes dépassant 5 kg, les mouvements répétitifs, ainsi que les positions stationnaires prolongées de plus de 30 minutes, que ce soit en position debout, assise ou couchée". Vu ce qui précède, la Cour fait siennes les explications de la Dre E.________. Celle-ci explique de façon claire et étayée les raisons pour lesquelles le diagnostic de spondylarthropathie n'est pas privilégié et pourquoi le diagnostic de syndrome douloureux chronique est mieux à même d'expliquer la symptomatologie présentée par l'assurée. Comme évoqué plus haut, les rapports des différents médecins traitants ne sont pas susceptibles de renverser ce point de vue, faute de pouvoir se baser sur des éléments cliniques et/ou radiologiques nouveaux qui remettraient objectivement en cause l'avis de l'experte. Pour les mêmes motifs, les points soulevés dans le recours en lien avec le volet psychiatrique de l'expertise ne sauraient, eux non plus, en remettre en cause la valeur probante. Même si les diagnostics retenus par l'expert-psychiatre (trouble à symptomatologie somatique/syndrome de</w:t>
      </w:r>
    </w:p>
    <w:p>
      <w:r>
        <w:t>Tribunal cantonal TC Page 12 de 14 détresse physique léger et trouble de stress post-traumatique) présentent un certain degré de gravité, il n'en demeure pas moins que c'est bien leur impact sur la capacité de travail de l'assurée qui est déterminant du point de vue de l'assurance-invalidité. Or, les explications fournies par le Dr G.________ (absence de signe sévère de dépression, suivi thérapeutique léger, absence de médication psychotrope depuis plus d'une année) relativisent précisément cet aspect. D'autant que cet expert insiste sur l'utilité et l'exigibilité d'une psychothérapie ainsi que la prescription d'un antidépresseur, laissant entendre que la situation serait susceptible de s'améliorer si l'assurée faisait appel aux moyens thérapeutiques idoines. En ce qui concerne enfin la mention, par l'expert en médecine interne, du fait qu'une réadaptation "est tout à fait envisageable, mais semble difficile, notamment compte tenu de la non-maitrise du français", il convient surtout de la comprendre dans le sens qu'une telle réadaptation ne serait pas entravée par des facteurs médicaux. Quoi qu'il en soit, cette mention ne justifie pas de remettre en cause la totalité de l'avis de l'expert, d'autant qu'elle a été faite avant que ce dernier ne procède à l'évaluation de la capacité de travail. Partant, la Cour retient, à l'instar des experts, que l'assurée n'est plus en mesure d'exercer son ancienne activité de physiothérapeute/coach sportif depuis le mois de juin 2018. En revanche, elle reste en mesure de travailler dans une activité légère, adaptée à ses limitations fonctionnelles et à un taux de 100%, avec un rendement diminué de 20%.</w:t>
      </w:r>
    </w:p>
    <w:p>
      <w:r>
        <w:rPr>
          <w:b/>
        </w:rPr>
        <w:t>E. 7</w:t>
      </w:r>
    </w:p>
    <w:p>
      <w:r>
        <w:t>La recourante ne conteste par ailleurs ni le revenu de valide, ni celui d'invalide, ni le degré d'invalidité qui résulte de la comparaison des deux revenus, éléments dont il n'y a pas de motif de douter qu'ils ont été correctement établis par l'autorité intimée. C'est dès lors à juste titre que l'autorité intimée a rejeté sa demande de prestations. Partant, le recours (608 2023 128), mal fondé, doit être rejeté et la décision attaquée, confirmée.</w:t>
      </w:r>
    </w:p>
    <w:p>
      <w:r>
        <w:rPr>
          <w:b/>
        </w:rPr>
        <w:t>E. 8</w:t>
      </w:r>
    </w:p>
    <w:p>
      <w:r>
        <w:t>L'assurée a requis l'octroi de l'assistance judiciaire totale (608 2023 129) pour la procédure de recours.</w:t>
      </w:r>
    </w:p>
    <w:p>
      <w:r>
        <w:rPr>
          <w:b/>
        </w:rPr>
        <w:t>E. 8.1</w:t>
      </w:r>
    </w:p>
    <w:p>
      <w:r>
        <w:t>Selon l'art. 61 let. f 2ème phr. LPGA, lorsque les circonstances le justifient, l'assistance judiciaire gratuite est accordée au recourant. Aux termes de l'art. 142 du code cantonal du 23 mai 1991 de procédure et de juridiction administrative (CPJA; RSF 150.1) a droit à l'assistance judiciaire la partie qui ne dispose pas de ressources suffisantes pour supporter les frais d'une procédure sans s'exposer à la privation des choses nécessaires à son existence ou à celle de sa famille (al. 1). L'assistance n'est pas accordée lorsque la procédure paraît d'emblée vouée à l'échec pour un plaideur raisonnable (al. 2). L'assistance est retirée lorsque les conditions de son octroi disparaissent en cours de procédure (al. 3). D'après l'art. 143 CPJA, l'assistance judiciaire comprend, pour le bénéficiaire, la dispense totale ou partielle des frais de procédure (al. 1 let. a) et de l'obligation de fournir une avance de frais ou des sûretés (al. 1 let. b). Elle comprend également, si la difficulté de l'affaire la rend nécessaire, la désignation d'un défenseur, choisi parmi les personnes habilitées à représenter les parties (al. 2).</w:t>
      </w:r>
    </w:p>
    <w:p>
      <w:r>
        <w:t>Tribunal cantonal TC Page 13 de 14</w:t>
      </w:r>
    </w:p>
    <w:p>
      <w:r>
        <w:rPr>
          <w:b/>
        </w:rPr>
        <w:t>E. 8.2</w:t>
      </w:r>
    </w:p>
    <w:p>
      <w:r>
        <w:t>Il convient d'examiner les deux conditions permettant l'octroi de l'assistance judiciaire gratuite, à savoir celle de la situation financière difficile et celle des chances de succès. S'agissant de la situation financière, il appert que l'assurée, soutenu par le service social, ne dispose manifestement pas des ressources suffisantes pour supporter les frais de procédure sans s'exposer à la privation des choses nécessaires à son existence. Il peut en outre être admis que le recours n'était pas d'emblée dénué de chances de succès. Dans ces conditions, l'assistance judiciaire totale est octroyée à la recourante et la mandataire choisie désignée en tant que défenseure d'office.</w:t>
      </w:r>
    </w:p>
    <w:p>
      <w:r>
        <w:rPr>
          <w:b/>
        </w:rPr>
        <w:t>E. 8.3</w:t>
      </w:r>
    </w:p>
    <w:p>
      <w:r>
        <w:t>La procédure n'étant pas gratuite, les frais de justice sont fixés à CHF 800.- et sont mis à la charge de la recourante qui succombe. Ils ne lui sont toutefois pas réclamés en raison de l'assistance judiciaire octroyée ce jour, sous réserve d'un retour ultérieur à meilleure fortune au sens de l'art. 145b al. 3 CPJA. Le versement d'une indemnité de partie équivalente à 14h d'honoraires à CHF 200.-/h plus CHF 50.- de frais de dossier a été requis dans le mémoire de recours. Compte tenu de la nature et de la complexité du litige, de l'absence de liste de frais détaillée ainsi que d'un tarif horaire de CHF 130.- valable pour les avocats œuvrant pour le service juridique d’un organisme d'utilité publique, tant pour les dépens que pour l'assistance judiciaire, il se justifie de réduire le montant de l'indemnité accordée à la mandataire précitée. Celle-ci est fixée, ex aequo et bono, à CHF 1'300.-, soit 10h à CHF 130.-/h auxquels s'ajoutent CHF 50.- de débours et CHF 103.95 au titre de la TVA à 7.7% (dès lors que les opérations ont eu lieu avant le 1er janvier 2024), pour un total de CHF 1'453.95; ce montant est à la charge de l'Etat de Fribourg. (dispositif en page suivante)</w:t>
      </w:r>
    </w:p>
    <w:p>
      <w:r>
        <w:t>Tribunal cantonal TC Page 14 de 14 la Cour arrête : I. Le recours (608 2023 128) est rejeté. II. La requête d'assistance judiciaire gratuite totale (608 2023 129) est admise et Me Annick Mbia est désignée comme défenseure d'office. III. L'indemnité allouée à Me Annick Mbia en sa qualité de défenseur d'office est fixée à CHF 1'300.-, soit 10h à 130.-/h, plus CHF 50.- de débours et CHF 103.95 au titre de la TVA à 7.7%, soit un total de CHF 1'453.95, et mise intégralement à la charge de l'Etat de Fribourg.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Si le bénéficiaire de l’assistance judiciaire revient à meilleure fortune ou s'il est démontré que son état d'indigence n'existait pas, la collectivité publique peut, dans les dix ans dès la clôture de la procédure, exiger de lui le remboursement de ses prestations (art. 145b al. 3 CPJA). Fribourg, le 2 juillet 2024/mba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