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122 vom 4. November 2024</w:t>
      </w:r>
    </w:p>
    <w:p>
      <w:r>
        <w:t>FR Kantonsgericht, 2024-11-04, FR</w:t>
      </w:r>
    </w:p>
    <w:p>
      <w:r>
        <w:rPr>
          <w:b/>
        </w:rPr>
        <w:t xml:space="preserve">Quelle: </w:t>
      </w:r>
      <w:r>
        <w:t>https://mcp.opencaselaw.ch/entscheid/fr_gerichte_608_2023_122</w:t>
      </w:r>
    </w:p>
    <w:p>
      <w:r>
        <w:t>FR: FR_GERICHTE 608 2023 122 du 4 novembre 2024</w:t>
      </w:r>
    </w:p>
    <w:p>
      <w:r>
        <w:t>IT: FR_GERICHTE 608 2023 122 del 4 novembre 2024</w:t>
      </w:r>
    </w:p>
    <w:p>
      <w:pPr>
        <w:pStyle w:val="Heading2"/>
      </w:pPr>
      <w:r>
        <w:t>Regeste</w:t>
      </w:r>
    </w:p>
    <w:p>
      <w:r>
        <w:t>Arrêt de la IIe Cour des assurances sociales du Tribunal cantonal | Invalidenversicherung</w:t>
      </w:r>
    </w:p>
    <w:p>
      <w:pPr>
        <w:pStyle w:val="Heading2"/>
      </w:pPr>
      <w:r>
        <w:t>Erwägungen</w:t>
      </w:r>
    </w:p>
    <w:p>
      <w:r>
        <w:rPr>
          <w:b/>
        </w:rPr>
        <w:t>E. 19</w:t>
      </w:r>
    </w:p>
    <w:p>
      <w:r>
        <w:t>juin 2020 [développement continu de l’AI], avec effet au 1er janvier 2022) et 26 al. 1 de la loi du 25 juin 1982 sur la prévoyance professionnelle vieillesse, survivants et invalidité (LPP; RS 831.40); que les constatations de l’assurance-invalidité, à moins d’être manifestement insoutenables ou arbitraires, sont contraignantes pour les institutions de prévoyance, non seulement par rapport à la fixation du taux d’activité, mais également par rapport à la survenance de l’incapacité de travail invalidante (ATF 118 V 35 consid. 2b/aa); qu'en outre, selon la jurisprudence,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fondamental en matière d'assurances de couvrir un risque déjà réalisé (ATF 135 V 13 consid. 2.6; 134 V 20 consid. 3; 123 V 262 consid. 1c); que, pour qu’une institution de prévoyance reste tenue à verser des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130 V 270 consid. 4.1); que la relation de connexité temporelle suppose qu'après la survenance de l'incapacité de travail dont la cause est à l'origine de l'invalidité, la personne assurée n'ait pas retrouvé une capacité de travail de plus de 80% dans une activité lucrative adaptée durant plus de trois mois (ATF 144 V 58 consid. 4.4 et 4.5 et les références citées; arrêt TF 9C_533/2017 du 28 mai 2018 consid. 2.1); qu'en l'espèce, il est indéniable que la décision litigieuse a également été notifiée à la fondation de prévoyance recourante, ce qui implique que l'évaluation de l'invalidité effectuée par l'OAI est en principe contraignante pour elle; que, dans ses observations au recours, l'OAI a toutefois soulevé la question de l'intérêt au recours, en relevant le fait que la "décision litigieuse reconnaît un droit à une rente entière dès le 1er mars 2017, soit de nombreuses années après la fin du contrat de travail liant la recourante et l'assuré"; qu'il ressort du dossier que les rapports de travail ont effectivement pris fin en juin 2005 et que l'assuré n'a pas repris d'activité lucrative depuis; que la Cour de céans relève que les troubles psychiques à l'origine de l'incapacité de travail ayant conduit l'OAI a reconnaître à nouveau à l'assuré le droit à une rente à partir de mars 2017 sont peu ou prou les mêmes que ceux qui avaient justifié l'octroi d'une rente d'invalidité entre 2004 et 2014; qu'ainsi, même si l'assuré n'était depuis longtemps plus affilié à la recourante en l'absence de rapport de travail, cela n'exclut pas d'emblée une obligation de prester de cette dernière;</w:t>
      </w:r>
    </w:p>
    <w:p>
      <w:r>
        <w:t>Tribunal cantonal TC Page 5 de 6 que, pour qu'une telle obligation existe, encore faut-il que cette nouvelle incapacité de travail se trouve dans une relation de connexité temporelle et matérielle avec l'atteinte initiale; que la recourante - à qui il incombe de s’expliquer sur l’existence de son intérêt au recours - ne fournit aucune motivation relative à la connexité temporelle et matérielle; que la Cour constate que la rente d'invalidité de l'assuré a été supprimée par l'OAI en 2014, du fait de la reconnaissance d'une capacité de travail à plein temps dans une activité adaptée, avec une baisse de rendement de 30% du point de vue rhumatologique et de 10% du point de vue psychiatrique; que, même si l'assuré n'a pas mis concrètement à profit la capacité de travail reconnue par l'OAI, celui-ci n'en a pas moins recouvré, temporairement du moins, et d'une longue durée, ce qui implique la rupture du lien de connexité temporelle; qu'ainsi, bien que la décision de l'OAI lui ait été dûment notifiée, la fondation recourante n'est a priori pas tenue de verser des prestations à l'assuré, pour des motifs propres au droit de la prévoyance professionnelle; qu'il découle de ce qui précède que la fondation recourante ne peut pas se prévaloir d'un intérêt digne de protection au sens de la jurisprudence exposée ci-dessus; que le recours doit par conséquent être déclaré irrecevable; que, vu l'issue du recours, la recourante n'a pas droit à des dépens; que la procédure n'étant pas gratuite, des frais de justice, par CHF 800.-, sont mis à la charge de la recourante et compensés avec l'avance de frais du même montant versée par cette dernière; que l'assuré, appelé en cause dès lors que ses intérêts étaient touchés, s'est déterminé par l'entremise de son avocat; que l'issue du présent recours équivalant pour lui à un gain de cause, il a droit à des dépens; que, dès lors que l'activité du mandataire a principalement consisté en la consultation des pièces et en la rédaction d'une brève détermination, il se justifie de fixer d'office l’indemnité de manière forfaitaire à CHF 1'000.-, débours compris, plus CHF 80.- de TVA à 8%, laquelle est mise à la charge de la recourante et sera directement versée au mandataire de l'assuré (cf. art. 141 CPJA); (dispositif en page suivante)</w:t>
      </w:r>
    </w:p>
    <w:p>
      <w:r>
        <w:t>Tribunal cantonal TC Page 6 de 6 la Cour arrête : I. Le recours est irrecevable. II. Les frais de justice, par CHF 800.-, sont mis à la charge de A.________. Ils sont compensés avec l'avance de frais du même montant versée par cette dernière. III. Il est alloué à B.________ une indemnité fixée à CHF 1'000.-, débours compris, plus CHF 80.- de TVA à 8%, laquelle est mise intégralement à la charge de A.________.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novembre 2024/mba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