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46 vom 15. Juni 2022</w:t>
      </w:r>
    </w:p>
    <w:p>
      <w:r>
        <w:t>FR Kantonsgericht, 2022-06-15, FR</w:t>
      </w:r>
    </w:p>
    <w:p>
      <w:r>
        <w:rPr>
          <w:b/>
        </w:rPr>
        <w:t xml:space="preserve">Quelle: </w:t>
      </w:r>
      <w:r>
        <w:t>https://mcp.opencaselaw.ch/entscheid/fr_gerichte_608_2022_46</w:t>
      </w:r>
    </w:p>
    <w:p>
      <w:r>
        <w:t>FR: FR_GERICHTE 608 2022 46 du 15 juin 2022</w:t>
      </w:r>
    </w:p>
    <w:p>
      <w:r>
        <w:t>IT: FR_GERICHTE 608 2022 46 del 15 giugno 2022</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 assuré directement touché par la décision attaquée, le recours est recevable.</w:t>
      </w:r>
    </w:p>
    <w:p>
      <w:r>
        <w:rPr>
          <w:b/>
        </w:rPr>
        <w:t>E. 1.2</w:t>
      </w:r>
    </w:p>
    <w:p>
      <w:r>
        <w:t>Dans le cadre du "développement continu de l'AI", notamment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En tenant compte du principe de droit intertemporel selon lequel les dispositions légales applicables sont celles qui étaient en vigueur à l'époque à laquelle les faits juridiquement déterminants se sont produits (cf. notamment ATF 129 V 354 consid. 1), le droit applicable en l'espèce serait celui en vigueur dès le 1er janvier 2022 dès lors que la décision administrative litigieuse a été rendue après cette date. Toutefois, sous le titre "exemption de l’adaptation des rentes en cours pour les bénéficiaires âgés d’au moins 55 ans", la lettre c des dispositions transitoires de la modification du 19 juin 2020 prévoit que l'ancien droit reste applicable pour les bénéficiaires de rente dont le droit à la rente est né avant l’entrée en vigueur de cette modification et qui avaient au moins 55 ans à l’entrée en vigueur de cette modification. Tel est le cas en l'espèce, dès lors que le recourant bénéficie d'un quart de rente depuis le 23 décembre 2017 et était âgé de 59 ans au 1er janvier 2022.</w:t>
      </w:r>
    </w:p>
    <w:p>
      <w:r>
        <w:rPr>
          <w:b/>
        </w:rPr>
        <w:t>E. 2.1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w:t>
      </w:r>
    </w:p>
    <w:p>
      <w:r>
        <w:t>Tribunal cantonal TC Page 4 de 8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w:t>
      </w:r>
    </w:p>
    <w:p>
      <w:r>
        <w:rPr>
          <w:b/>
        </w:rPr>
        <w:t>E. 2.3</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2.4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2.5</w:t>
      </w:r>
    </w:p>
    <w:p>
      <w:r>
        <w:t>Selon l'art. 17 al. 1 LPGA, si le taux d'invalidité du bénéficiaire de la rente subit une modification notable, la rente est, d'office ou sur demande, révisée pour l'avenir, à savoir augmentée ou réduite en conséquence, ou encore supprimée.</w:t>
      </w:r>
    </w:p>
    <w:p>
      <w:r>
        <w:t>Tribunal cantonal TC Page 5 de 8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371 consid. 2b et 387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rPr>
          <w:b/>
        </w:rPr>
        <w:t>E. 2.6</w:t>
      </w:r>
    </w:p>
    <w:p>
      <w:r>
        <w:t>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117 V 198 consid. 4b et les références citées). À cet égard, une appréciation différente de la même situation médicale ne permet pas encore de conclure à l'existence d'une aggravation (ATF 112 V 371 consid. 2b; arrêt TF 9C_748/2013 du 10 février 2014 consid. 4.3 ; arrêt TFA I 716/2003 du 9 août 2004 consid. 4.1.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 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9C_881/2007 du 22 février 2008 consid. 2.2 et 9C_708/2007 du 11 septembre 2008 consid. 2.2). Le principe inquisitoire, selon lequel les faits pertinents de la cause doivent être constatés d'office par</w:t>
      </w:r>
    </w:p>
    <w:p>
      <w:r>
        <w:t>Tribunal cantonal TC Page 6 de 8 l'autorité (art. 43 al. 1 LPGA), ne s'applique pas à la procédure de l'art. 87 al. 3 RAI (ATF 130 V 64 consid. 5.2.5).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w:t>
      </w:r>
    </w:p>
    <w:p>
      <w:r>
        <w:rPr>
          <w:b/>
        </w:rPr>
        <w:t>E. 3.1</w:t>
      </w:r>
    </w:p>
    <w:p>
      <w:r>
        <w:t>La dernière décision entrée en force reposant sur un examen matériel du droit à la rente est la décision d'octroi d'un quart de rente du 29 juin 2020, qui n'a pas été contestée. L'autorité intimée s'était notamment basée sur une expertise bi-disciplinaire psychiatrique et orthopédique. Cette expertise a été réalisée le 3 mars 2020 par le Prof. C.________, spécialiste en chirurgie orthopédique et traumatologie de l'appareil locomoteur, et le Dr D.________, spécialiste en psychiatrie et psychothérapie (dossier OAI p. 900). Les experts avaient posé comme diagnostics, avec effet sur la capacité de travail, un status post spondylodèse L4-L5-S1, une lombalgie résiduelle et une neuropathie périphérique métabolique. Etaient sans une telle influence les diagnostics de discopathie L4-L5 et L5-S1, d'hernie discale L5-S1, de status post traitement chirurgical d’une hernie discale et d'obésité, ainsi que, du point de vue psychiatrique, de fluctuations dysthymiques - dysphoriques (F34.1). La capacité de travail dans l'activité habituelle de maçon a été jugée nulle en raison des troubles orthopédiques. Dans une activité adaptée respectant les limitations fonctionnelles – port de charges de 5kg maximum, limitation des mouvements en flexion/extension, en rotation du tronc ou en flexion/rotation, limitation de la marche en terrain accidenté, pas de travail en hauteur ni sur les échelles ni au-dessus de la hauteur des épaules, pas de travail au sol accroupi, avec possibilité de changements de position fréquents toutes les heures – la capacité de travail était de 54% (soit 6 heures par jour avec une rentabilité de 75%) en raison des troubles physiques.</w:t>
      </w:r>
    </w:p>
    <w:p>
      <w:r>
        <w:rPr>
          <w:b/>
        </w:rPr>
        <w:t>E. 3.2</w:t>
      </w:r>
    </w:p>
    <w:p>
      <w:r>
        <w:t>Le recourant a déposé une demande de révision le 15 décembre 2021, sans toutefois produire de rapports médicaux. Il n'en a pas non plus produit après avoir été expressément rendu attentif à son devoir de rendre plausible par des certificats l'aggravation de sa situation, ni même avec son recours.</w:t>
      </w:r>
    </w:p>
    <w:p>
      <w:r>
        <w:t>Tribunal cantonal TC Page 7 de 8 Par ailleurs, le mémoire de recours ne motive ni la nécessité de mise en œuvre d'une nouvelle expertise, ni l'aggravation de son état de santé. L'intéressé ne détaille en particulier pas ce qu'il entend par être incapable de gérer seul sa vie, si ce n'est que son épouse l'aide pour gérer ses rendez-vous médicaux, ce qui n'est pas suffisant pour en déduire une quelconque aggravation de son état de santé. Il ne saurait enfin être question de mettre en œuvre des mesures d'instruction complémentaires dès lors qu'il appartient au recourant de rendre plausible une péjoration de son état de santé (arrêt TF I 511/2006 du 1er mai 2007 consid. 7). Le recourant n'a ainsi manifestement pas rendu plausible un changement de sa situation. C'est dès lors à juste titre que l'autorité intimée s'est refusée à entrer en matière sur sa demande.</w:t>
      </w:r>
    </w:p>
    <w:p>
      <w:r>
        <w:rPr>
          <w:b/>
        </w:rPr>
        <w:t>E. 4</w:t>
      </w:r>
    </w:p>
    <w:p>
      <w:r>
        <w:t>Au vu de ce qui précède, le recours – manifestement infondé – est rejeté et la décision du 23 février 2022 confirmée. La procédure n'étant pas gratuite, les frais de procédure par CHF 400.- sont mis à la charge du recourant qui succombe. Ils sont compensés par l'avance de frais du même montant versée le 6 avril 2022. (dispositif en page suivante)</w:t>
      </w:r>
    </w:p>
    <w:p>
      <w:r>
        <w:t>Tribunal cantonal TC Page 8 de 8 la Cour arrête : I. Le recours est rejeté. II. Les frais de procédure, par CHF 400.-, sont mis à la charge de A.________. Ils sont compensés par l'avance de frais versée le 6 avril 2022.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juin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