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29 vom 3. Mai 2023</w:t>
      </w:r>
    </w:p>
    <w:p>
      <w:r>
        <w:t>FR Kantonsgericht, 2023-05-03, FR</w:t>
      </w:r>
    </w:p>
    <w:p>
      <w:r>
        <w:rPr>
          <w:b/>
        </w:rPr>
        <w:t xml:space="preserve">Quelle: </w:t>
      </w:r>
      <w:r>
        <w:t>https://mcp.opencaselaw.ch/entscheid/fr_gerichte_608_2022_29</w:t>
      </w:r>
    </w:p>
    <w:p>
      <w:r>
        <w:t>FR: FR_GERICHTE 608 2022 29 du 3 mai 2023</w:t>
      </w:r>
    </w:p>
    <w:p>
      <w:r>
        <w:t>IT: FR_GERICHTE 608 2022 29 del 3 maggio 2023</w:t>
      </w:r>
    </w:p>
    <w:p>
      <w:pPr>
        <w:pStyle w:val="Heading2"/>
      </w:pPr>
      <w:r>
        <w:t>Regeste</w:t>
      </w:r>
    </w:p>
    <w:p>
      <w:r>
        <w:t>Arrêt de la IIe Cour des assurances sociales du Tribunal cantonal | Erwerbsersatz</w:t>
      </w:r>
    </w:p>
    <w:p>
      <w:pPr>
        <w:pStyle w:val="Heading2"/>
      </w:pPr>
      <w:r>
        <w:t>Erwägungen</w:t>
      </w:r>
    </w:p>
    <w:p>
      <w:r>
        <w:rPr>
          <w:b/>
        </w:rPr>
        <w:t>E. 31</w:t>
      </w:r>
    </w:p>
    <w:p>
      <w:r>
        <w:t>octobre 2020 et de décembre 2020 à juin 2021 à concurrence de CHF 9'103.95, après compensation avec les APG-Corona dues pour le juillet 2021. Par ailleurs, la cause est renvoyée à la Caisse pour qu’elle rende cas échéant une décision formelle sur le droit que le recourant semble faire valoir pour les mois d’août à octobre 2021. II. Il n’est pas perçu de frais de procédure. III. Une indemnité de CHF 1'500.-, TVA de CHF 107.25 (7.7% de CHF 1'392.75) comprise, est allouée au recourant pour ses dépens. Elle est mise à la charge de la Caisse de compensation.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2023/msu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