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156 vom 3. Oktober 2024</w:t>
      </w:r>
    </w:p>
    <w:p>
      <w:r>
        <w:t>FR Kantonsgericht, 2024-10-03, FR</w:t>
      </w:r>
    </w:p>
    <w:p>
      <w:r>
        <w:rPr>
          <w:b/>
        </w:rPr>
        <w:t xml:space="preserve">Quelle: </w:t>
      </w:r>
      <w:r>
        <w:t>https://mcp.opencaselaw.ch/entscheid/fr_gerichte_608_2022_156</w:t>
      </w:r>
    </w:p>
    <w:p>
      <w:r>
        <w:t>FR: FR_GERICHTE 608 2022 156 du 3 octobre 2024</w:t>
      </w:r>
    </w:p>
    <w:p>
      <w:r>
        <w:t>IT: FR_GERICHTE 608 2022 156 del 3 ottobre 2024</w:t>
      </w:r>
    </w:p>
    <w:p>
      <w:pPr>
        <w:pStyle w:val="Heading2"/>
      </w:pPr>
      <w:r>
        <w:t>Regeste</w:t>
      </w:r>
    </w:p>
    <w:p>
      <w:r>
        <w:t>Arrêt de la IIe Cour des assurances sociales du Tribunal cantonal | Berufliche Vorsorge</w:t>
      </w:r>
    </w:p>
    <w:p>
      <w:pPr>
        <w:pStyle w:val="Heading2"/>
      </w:pPr>
      <w:r>
        <w:t>Erwägungen</w:t>
      </w:r>
    </w:p>
    <w:p>
      <w:r>
        <w:rPr>
          <w:b/>
        </w:rPr>
        <w:t>E. 1.1</w:t>
      </w:r>
    </w:p>
    <w:p>
      <w:r>
        <w:t>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de la loi du 25 juin 1982 sur la prévoyance professionnelle vieillesse, survivants et invalidité (LPP; RS 831.40) et qui sont affectés exclusivement et irrévocablement à la prévoyance (art. 1 al. 2 de l’ordonnance du 13 novembre 1985 sur les déductions admises fiscalement pour les cotisations versées à des formes reconnues de prévoyance [OPP 3; RS 831.461.3]). Il s'agit d'une forme de prévoyance reconnue par le Conseil fédéral en collaboration avec les cantons et fiscalement favorable au sens de l'art. 82 al. 2 LPP. Bien que ces contrats soient régis matériellement par la loi du 2 avril 1908 sur le contrat d’assurance (LCA; RS 221.229.1), les contestations résultant de leur application sont de la compétence de l'autorité cantonale désignée pour connaître des contestations opposant fondations ou institutions de prévoyance employeurs et ayants droit (art. 73 al. 1 let. b LPP en corrélation avec l’art. 82 al. 2 LPP) (arrêts TF 9C_944/2008 du 30 mars 2009 consid. 2; 9C_511/2018 du 14 mars 2019 consid. 1).</w:t>
      </w:r>
    </w:p>
    <w:p>
      <w:r>
        <w:rPr>
          <w:b/>
        </w:rPr>
        <w:t>E. 1.2</w:t>
      </w:r>
    </w:p>
    <w:p>
      <w:r>
        <w:t>Selon la jurisprudence, il découle d’une interprétation prenant en compte le but, la systématique et l’historique d’adoption de cette disposition qu'il y a lieu de reconnaître un for alternatif à celui du siège ou du domicile suisse du défendeur prévu à l'art. 73 al. 3 LPP dans le cadre des litiges relatifs à la prévoyance liée. Le domicile du preneur d'assurance constitue à cet égard le point de rattachement qui permet de respecter au mieux les principes généraux de procédure applicables dans le droit des assurances sociales et les intentions du législateur (arrêt TF 9C_944/2008 du 30 mars 2009 consid. 5.4).</w:t>
      </w:r>
    </w:p>
    <w:p>
      <w:r>
        <w:rPr>
          <w:b/>
        </w:rPr>
        <w:t>E. 1.3</w:t>
      </w:r>
    </w:p>
    <w:p>
      <w:r>
        <w:t>La IIe Cour des assurances sociales du Tribunal cantonal du canton de Fribourg est ainsi compétente pour connaître du présent litige qui porte sur un contrat de prévoyance liée conclu par un assuré domicilié dans ce canton (art. 35 de la loi fribourgeoise du 31 mai 2010 sur la justice [LJ;</w:t>
      </w:r>
    </w:p>
    <w:p>
      <w:r>
        <w:t>Tribunal cantonal TC Page 6 de 11 RSF 130.1]; art. 28 du règlement du 22 novembre 2012 du Tribunal cantonal précisant son organisation et son fonctionnement [RTC; RSF 131.11]).</w:t>
      </w:r>
    </w:p>
    <w:p>
      <w:r>
        <w:rPr>
          <w:b/>
        </w:rPr>
        <w:t>E. 2.1</w:t>
      </w:r>
    </w:p>
    <w:p>
      <w:r>
        <w:t>Selon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sous réserve de l'art. 93 de la loi (al. 4).</w:t>
      </w:r>
    </w:p>
    <w:p>
      <w:r>
        <w:rPr>
          <w:b/>
        </w:rPr>
        <w:t>E. 2.2</w:t>
      </w:r>
    </w:p>
    <w:p>
      <w:r>
        <w:t>L'art. 89 LCA indique que le preneur d’assurance peut résilier le contrat après un an par écrit ou par tout autre moyen permettant d’en établir la preuve par un texte, quelle que soit la durée convenue. En vertu de l'art. 90 al. 1 LCA, si l’assurance a une valeur de transformation, le preneur d’assurance peut demander qu’elle soit transformée totalement ou partiellement en une assurance libérée du paiement des primes. Le contrat peut prévoir une valeur minimum. Si la valeur de transformation est inférieure à la valeur minimum prévue, l’entreprise d’assurance verse au preneur d’assurance la valeur de rachat (al. 2). Si une assurance pour laquelle il est certain que l’événement assuré se réalisera a une valeur de rachat à la fin totale ou partielle du contrat, le preneur d’assurance peut en exiger le paiement (al. 3). Selon l'art. 91 LCA, l’entreprise d’assurance doit fixer les bases de la détermination de la valeur de réduction et de la valeur de rachat (al. 1). Les règles concernant la réduction et le rachat doivent faire partie des conditions générales d’assurance (al. 2). D'après l'art. 92 al. 1er LCA, si l’ayant droit le demande, l’entreprise d’assurance est tenue, dans les quatre semaines, de calculer la valeur de réduction ou de rachat de l’assurance et de la lui faire connaître. Elle doit de plus, si l’ayant droit le requiert, lui fournir les données qui sont nécessaires à des experts pour calculer la valeur de réduction ou de rachat. Aux termes de l'art. 93 LCA, si le paiement des primes cesse après que l'assurance a été en vigueur pendant trois ans au moins, la valeur de réduction est due; l'assureur doit fixer, suivant les prescriptions de la présente loi, la valeur de réduction, et aussi, pour les assurances susceptibles de rachat, la valeur de rachat; il doit en donner sur demande communication à l'ayant droit (al. 1); si l'assurance est susceptible de rachat, l'ayant droit peut, dans les six semaines après qu'il a reçu cette communication, demander le rachat au lieu de la réduction (al. 2).</w:t>
      </w:r>
    </w:p>
    <w:p>
      <w:r>
        <w:rPr>
          <w:b/>
        </w:rPr>
        <w:t>E. 2.3</w:t>
      </w:r>
    </w:p>
    <w:p>
      <w:r>
        <w:t>L'art. 1 OPP 3 définit les formes reconnues de prévoyance au sens de l'art. 82 LPP. En font notamment partie les contrats de prévoyance liée, soit les contrats spéciaux d’assurance de capital et de rentes sur la vie ou en cas d’invalidité ou de décès, y compris d’éventuelles assurances complémentaires en cas de décès par accident ou d’invalidité. Selon l'art. 3 al. 1 OPP 3, les prestations de vieillesse peuvent être versées au plus tôt cinq ans avant que l’assuré n’atteigne l’âge de référence fixé à l’art. 13 al. 1 LPP. Elles sont échues lorsque l’assuré atteint l’âge de référence. Les al. 2 et 3 prévoient diverses possibilités de versement anticipé des prestations de vieillesse (bénéfice d’une rente entière d’invalidité de l’assurance-invalidité fédérale sans que le risque d’invalidité ne soit assuré, changement d’activité lucrative indépendante du preneur d'assurance, versement en espèces au sens de l’art. 5 de la loi fédérale du 17 décembre</w:t>
      </w:r>
    </w:p>
    <w:p>
      <w:r>
        <w:t>Tribunal cantonal TC Page 7 de 11 1993 sur le libre passage, acquisition ou construction d'un logement en propriété pour ses propres besoins, acquisition de participations à la propriété d’un logement pour ses propres besoins, remboursement des prêts hypothécaires). En vertu de l'art. 3a OPP 3, le preneur de prévoyance peut résilier le rapport de prévoyance s’il affecte son capital de prévoyance au rachat dans une institution de prévoyance exonérée d’impôt ou s’il transfère son capital de prévoyance dans une autre forme reconnue de prévoyance. Il ne peut transférer partiellement son capital de prévoyance que s’il l’affecte au rachat de l’intégralité de la lacune dans une institution de prévoyance exonérée d’impôt.</w:t>
      </w:r>
    </w:p>
    <w:p>
      <w:r>
        <w:rPr>
          <w:b/>
        </w:rPr>
        <w:t>E. 2.4</w:t>
      </w:r>
    </w:p>
    <w:p>
      <w:r>
        <w:t>Selon les conditions générales d'assurance pour les assurances-vie individuelles (AVB ELV 99) valables en l'espèce, on parle d'incapacité de gain lorsque, à la suite d'une maladie ou d'un accident dont la preuve peut être objectivement établie par un examen médical, la personne assurée n'est pas en état de poursuivre ses activités professionnelles ou une autre activité raisonnable. On appelle activité raisonnable toute activité correspondant aux connaissances, capacités et au niveau de vie de la personne assurée (art. 1.4). D'après l'art. 2.4 desdites conditions générales, le preneur d'assurance peut en tout temps révoquer sa proposition ainsi que révoquer son contrat et refuser de payer d'autres primes. La révocation ou la résiliation doivent être signifiées par écrit au siège de l'Allianz Suisse ou à l'une de ses agences générales. Elles prennent effet à l'instant de leur réception. Selon l'art. 2.5, en cas de transformation ou de rachat de l'assurance principale, toutes les assurances complémentaires sont supprimées. Des prestations en cours sous forme de rentes servies en vertu d'une assurance complémentaire en cas d'incapacité de gain continuent d'être versées dans la mesure actuelle, jusqu'à la date d'expiration prévue dans le contrat. En vertu des conditions complémentaires pour les assurances en cas d'incapacité de gain (EB ELE 99), les prestations consistent en l'allocation de la libération des primes et, dans la mesure où elle est assurée, dans le versement d'une rente (art. 1). Les prestations sont servies lorsque l'incapacité de gain s'est prolongée, sans interruption, sur une durée supérieure au délai d'attente convenu (art. 4.1). Le versement total ou partiel des prestations dépend du degré d'incapacité de gain de la personne assurée; s'il est égal ou supérieur à 66 2/3 %, les prestations sont intégralement versées (art. 4.4).</w:t>
      </w:r>
    </w:p>
    <w:p>
      <w:r>
        <w:rPr>
          <w:b/>
        </w:rPr>
        <w:t>E. 3</w:t>
      </w:r>
    </w:p>
    <w:p>
      <w:r>
        <w:t>Il ressort du dossier que le demandeur a été victime d'une incapacité de travail dès 2008, ce qui l'a amené à déposer une demande de prestations AI, en 2010. Cette situation a conduit à ce qu'il soit libéré du paiement des primes de prévoyance 3ème pilier A (mixte) par la défenderesse, à hauteur de CHF 3'375.10 par an, et à ce qu'il continue à verser CHF 117.60 par mois. A la suite du rejet de sa demande par l'OAI, confirmé en dernière instance en septembre 2019, la défenderesse a admis une incapacité de gain de 70% entre le 11 juillet 2008 et le 22 octobre 2014, justifiant la libération des primes. En revanche, elle a considéré que le motif de libération n'existait plus dès le 23 octobre 2014, moment où la décision de refus de prestations a été rendue par l'OAI; elle a ainsi requis du demandeur le versement des primes y relatives, respectivement le remboursement des primes dont il avait été exempté.</w:t>
      </w:r>
    </w:p>
    <w:p>
      <w:r>
        <w:t>Tribunal cantonal TC Page 8 de 11 Dès lors que ce dernier n'a pas daigné s'acquitter des primes en question, respectivement qu'aucun accord n'a été trouvé quant à une solution transactionnelle, la défenderesse a voulu modifier rétroactivement le contrat et rembourser les primes versées par le demandeur. Ce dernier s'y est opposé, requérant d'une part de ne devoir s'acquitter que de la part risque des primes en question et demandant, dans ce contexte, l'établissement d'un décompte permettant de distinguer la valeur des parts risque et épargne. Il invoquait d'autre part subir une nouvelle incapacité de gain depuis le</w:t>
      </w:r>
    </w:p>
    <w:p>
      <w:r>
        <w:rPr>
          <w:b/>
        </w:rPr>
        <w:t>E. 4</w:t>
      </w:r>
    </w:p>
    <w:p>
      <w:r>
        <w:t>mois environ = CHF 17'967.05).</w:t>
      </w:r>
    </w:p>
    <w:p>
      <w:r>
        <w:rPr>
          <w:b/>
        </w:rPr>
        <w:t>E. 4.1</w:t>
      </w:r>
    </w:p>
    <w:p>
      <w:r>
        <w:t>Amenée à statuer, la Cour de céans relève tout d'abord que le litige a débuté à la suite de la confirmation, par le Tribunal fédéral, du bien-fondé de la décision de l'OAI, lequel a retenu en substance que l'assuré dispose d'une pleine capacité de travail dans toute activité. Alors que jusqu'à l'arrêt de la Haute Cour, la défenderesse avait libéré le demandeur du paiement des primes (à hauteur de CHF 3'375.10 par an), admettant (implicitement du moins) l'existence d'une incapacité de gain, elle a ensuite reconsidéré sa position en supprimant le bénéfice de la libération du paiement des primes rétroactivement à la date de la décision de l'OAI et en requérant simultanément du demandeur le versement des primes correspondantes (CHF 3'375.10 x 5 ans et</w:t>
      </w:r>
    </w:p>
    <w:p>
      <w:r>
        <w:rPr>
          <w:b/>
        </w:rPr>
        <w:t>E. 4.2</w:t>
      </w:r>
    </w:p>
    <w:p>
      <w:r>
        <w:t>En préambule, la Cour constate que le demandeur ne remet pas fondamentalement en question l'évaluation de son incapacité de gain par la défenderesse, respectivement le fait que cette dernière ait conclu, à l'instar de l'OAI, à l'existence d'une pleine capacité de travail dans toute activité et, dès lors, à l'absence de perte de gain, à tout le moins depuis le 23 octobre 2014. Il conteste en revanche le refus, opposé par la défenderesse, de transformer la partie épargne de son assurance de prévoyance liée (3ème pilier A) en une prévoyance libre (3ème pilier B), et de ne requérir de sa part que le paiement des primes de risque à partir du 23 octobre 2014. Dans ce cadre, il déplore que ses multiples demandes en vue d'obtenir un décompte détaillant les parts épargne et risque soient restées lettre morte.</w:t>
      </w:r>
    </w:p>
    <w:p>
      <w:r>
        <w:rPr>
          <w:b/>
        </w:rPr>
        <w:t>E. 4.3</w:t>
      </w:r>
    </w:p>
    <w:p>
      <w:r>
        <w:t>Les parties ont conclu un contrat d'assurance-vie mixte à primes périodiques relevant de la prévoyance liée (3ème pilier A), une partie des primes visant à l'accumulation d'épargne en vue de la retraite (vieillesse) et l'autre la couverture de certains risques (décès et invalidité). Selon la jurisprudence (ATF 135 III 289), la spécificité de ce type de contrat d'assurance réside dans le fait que, contrairement à ceux relevant de la prévoyance individuelle libre (pilier 3B) régis par le principe de la liberté contractuelle, ils sont soumis aux restrictions prévues par l'OPP 3, dans le but de garantir l'objectif de prévoyance: limitation du choix des bénéficiaires (art. 2) et des possibilités de versement des prestations (art. 3), interdiction de cession et de mise en gage du droit aux prestations, sous réserve d'acquisition de la propriété du logement et de divorce. En d'autres termes, les prestations prévues dans ce type de contrat ne peuvent pas être distraites du but de prévoyance, puisque les fonds versés sont affectés exclusivement et irrévocablement à cette fin (cf. art. 3 OPP 3). Si le législateur entend bien donner une certaine flexibilité aux preneurs d'assurance, en leur permettant notamment de réduire la charge des primes d'assurance, il n'en demeure pas moins que ce procédé doit respecter le but de prévoyance cité ci-avant.</w:t>
      </w:r>
    </w:p>
    <w:p>
      <w:r>
        <w:t>Tribunal cantonal TC Page 9 de 11 D'une part, les dispositions légales topiques (cf. supra consid. 2.1-2.3) ne prévoient pas la possibilité, pour l'assuré, de modifier les conditions contractuelles lorsqu'il est libéré des primes. L'art. 90 LCA distingue entre la réduction (qui permet au preneur d'assurance d'être libéré du paiement ultérieur de tout ou partie des primes, moyennant une réduction de la couverture d'assurance, laquelle est toutefois maintenue) et le rachat (qui met fin au contrat d'assurance et qui permet au preneur d'assurance de recevoir un montant au titre de la valeur de rachat). Le droit au rachat existe pour les contrats d'assurance qui sont liés à un processus d'épargne. Une assurance mixte combine des prestations en cas de vie et en cas de décès, à verser en cas de vie ou de décès à l'échéance ou avant le terme convenu. S'il existe une composante d'épargne, l'assurance mixte est en principe susceptible de rachat, mais uniquement à certaines conditions, prévues aux art. 3 et 3a OPP 3, non remplies en l'espèce. D'autre part, les art. 2.4 et 2.5 des conditions générales (cf. supra consid. 2.4) prévoient une révocation du contrat avec versement d'une valeur de rachat, en précisant que toutes les assurances complémentaires sont supprimées en cas de transformation ou de rachat de l'assurance principale. On ajoutera qu'en vertu de l'art. 6.2 des conditions complémentaires pour les assurances en cas d'incapacité de gain, une remise en vigueur de l'assurance "dont le devoir de prestation est suspendu ou qui a été transformée" est possible à deux conditions: paiement de toutes les primes dues, y compris frais de rappel et intérêts moratoires, et preuve de l'absence de détérioration de l'état de santé. En l'occurrence, aucune de ces deux conditions n'était remplie par le demandeur.</w:t>
      </w:r>
    </w:p>
    <w:p>
      <w:r>
        <w:rPr>
          <w:b/>
        </w:rPr>
        <w:t>E. 4.4</w:t>
      </w:r>
    </w:p>
    <w:p>
      <w:r>
        <w:t>Vu ce qui précède, la défenderesse était dès lors en droit de rejeter la démarche du demandeur visant à "transformer" une partie du contrat de prévoyance liée (3ème pilier A) en contrat de prévoyance libre (3ème pilier B) puisque, précisément, cela aurait abouti à un résultat contraire au but de prévoyance prévu par le législateur, à savoir une sortie du capital accumulé du cercle de la prévoyance liée. Au contraire, dès le moment où une capacité de travail a été reconnue, respectivement réévaluée, le contrat aurait dû reprendre aux conditions habituelles, moyennant que l'assuré s'acquitte des primes dues dès octobre 2014. En refusant de s'acquitter de ces primes et en demandant une modification du contrat s'écartant des règles légales et contractuelles, l'assuré a compromis la poursuite du contrat, qu'il a d'ailleurs fini par résilier lui-même. Ce dénouement lui donnait toutefois la possibilité de réinvestir le montant obtenu (in casu, une valeur de rachat de CHF 37'186.20) dans la conclusion d'une nouvelle assurance de prévoyance liée, mais en perdant en revanche les avantages liés aux polices conclues initialement, en particulier s'agissant de la libération du paiement des primes. Une autre possibilité pour poursuivre la couverture préexistante tout en réduisant le montant des primes aurait été de valider l'une des deux conventions proposées par la défenderesse en vue de trouver une solution transactionnelle au litige. Ces propositions n'ont toutefois pas trouvé grâce auprès du demandeur. En définitive, il ne peut être donné suite aux prétentions formulées par le demandeur quant à la transformation partielle de sa police d'assurance 3ème pilier A en un 3ème pilier B.</w:t>
      </w:r>
    </w:p>
    <w:p>
      <w:r>
        <w:rPr>
          <w:b/>
        </w:rPr>
        <w:t>E. 4.5</w:t>
      </w:r>
    </w:p>
    <w:p>
      <w:r>
        <w:t>Par voie de conséquence, il n'est pas nécessaire de se pencher sur le grief lié au refus de l'assurance de fournir un décompte détaillant les parts risque et épargne. Il sied au passage de relever qu'en vertu de l'art. 92 LCA, l'assurance est tenue de calculer la valeur de réduction et de rachat, sur demande de l'ayant droit, ainsi que de fournir les données nécessaires aux experts pour</w:t>
      </w:r>
    </w:p>
    <w:p>
      <w:r>
        <w:t>Tribunal cantonal TC Page 10 de 11 calculer dite valeur. On ne saurait tirer de cette disposition une obligation, pour l'assurance-vie, de fournir un décompte séparant les aspects risque et épargne. Enfin, la question de la nouvelle incapacité de travail et de gain alléguée à partir de 2017 peut rester ouverte, puisqu'en refusant de s'acquitter des primes dues rétroactivement à partir d'octobre 2014, le demandeur a, de fait, empêché la police initiale de déployer à nouveau ses effets. On peut, dans ce contexte, renvoyer à la jurisprudence selon laquelle, lorsque l'assureur procède à une libération du paiement des primes à la suite du non-paiement de celles-ci, conformément aux art. 20 et 93 LCA, mais qu'il apparaît ensuite que la prime n'était pas due, les conséquences du retard sont dénuées d'effet juridique, et la police initiale demeure en vigueur dans toute son étendue (arrêts TF 9C_161/2017 du 19 janvier 2018 consid. 7.2; 4A_134/2015 du 14 septembre 2015 consid. 3.2.3 et l'arrêt cité).</w:t>
      </w:r>
    </w:p>
    <w:p>
      <w:r>
        <w:rPr>
          <w:b/>
        </w:rPr>
        <w:t>E. 5</w:t>
      </w:r>
    </w:p>
    <w:p>
      <w:r>
        <w:t>Il découle de ce qui précède que l'action déposée par le demandeur est rejetée dans son intégralité. En application du principe de la gratuité de la procédure valant en la matière, il n'est pas perçu de frais de justice. Succombant, le demandeur ne peut prétendre à une indemnité de dépens. Il en est de même de la défenderesse, qui ne peut y prétendre, à moins que la partie adverse procède à la légère ou de manière téméraire (ATF 128 V 323; arrêt TF 9C_782/2011 du 16 octobre 2012 consid. 5.2), ce qui n'est pas le cas en l'espèce. (dispositif en page suivante)</w:t>
      </w:r>
    </w:p>
    <w:p>
      <w:r>
        <w:t>Tribunal cantonal TC Page 11 de 11 la Cour arrête : I. L'action est rejetée.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