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108 vom 30. August 2023</w:t>
      </w:r>
    </w:p>
    <w:p>
      <w:r>
        <w:t>FR Kantonsgericht, 2023-08-30, FR</w:t>
      </w:r>
    </w:p>
    <w:p>
      <w:r>
        <w:rPr>
          <w:b/>
        </w:rPr>
        <w:t xml:space="preserve">Quelle: </w:t>
      </w:r>
      <w:r>
        <w:t>https://mcp.opencaselaw.ch/entscheid/fr_gerichte_608_2022_108</w:t>
      </w:r>
    </w:p>
    <w:p>
      <w:r>
        <w:t>FR: FR_GERICHTE 608 2022 108 du 30 août 2023</w:t>
      </w:r>
    </w:p>
    <w:p>
      <w:r>
        <w:t>IT: FR_GERICHTE 608 2022 108 del 30 agosto 2023</w:t>
      </w:r>
    </w:p>
    <w:p>
      <w:pPr>
        <w:pStyle w:val="Heading2"/>
      </w:pPr>
      <w:r>
        <w:t>Regeste</w:t>
      </w:r>
    </w:p>
    <w:p>
      <w:r>
        <w:t>Arrêt de la IIe Cour des assurances sociales du Tribunal cantonal | Alters- und Hinterlassenenversicherung</w:t>
      </w:r>
    </w:p>
    <w:p>
      <w:pPr>
        <w:pStyle w:val="Heading2"/>
      </w:pPr>
      <w:r>
        <w:t>Erwägungen</w:t>
      </w:r>
    </w:p>
    <w:p>
      <w:r>
        <w:rPr>
          <w:b/>
        </w:rPr>
        <w:t>E. 5</w:t>
      </w:r>
    </w:p>
    <w:p>
      <w:r>
        <w:t>Le recours doit dès lors être entièrement rejeté et la décision sur opposition confirmée. Conformément au principe de la gratuité valant en la matière pour les procédures portant sur des prestations, il ne sera pas perçu de frais de justice. Vu l'issue du recours, il n'est pas accordé de dépens. (dispositif en page suivante)</w:t>
      </w:r>
    </w:p>
    <w:p>
      <w:r>
        <w:t>Tribunal cantonal TC Page 7 de 7 la Cour arrête :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août 2023/djo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