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 vom 31. Januar 2022</w:t>
      </w:r>
    </w:p>
    <w:p>
      <w:r>
        <w:t>FR Kantonsgericht, 2022-01-31, FR</w:t>
      </w:r>
    </w:p>
    <w:p>
      <w:r>
        <w:rPr>
          <w:b/>
        </w:rPr>
        <w:t xml:space="preserve">Quelle: </w:t>
      </w:r>
      <w:r>
        <w:t>https://mcp.opencaselaw.ch/entscheid/fr_gerichte_608_2022_1</w:t>
      </w:r>
    </w:p>
    <w:p>
      <w:r>
        <w:t>FR: FR_GERICHTE 608 2022 1 du 31 janvier 2022</w:t>
      </w:r>
    </w:p>
    <w:p>
      <w:r>
        <w:t>IT: FR_GERICHTE 608 2022 1 del 31 gennaio 2022</w:t>
      </w:r>
    </w:p>
    <w:p>
      <w:pPr>
        <w:pStyle w:val="Heading2"/>
      </w:pPr>
      <w:r>
        <w:t>Regeste</w:t>
      </w:r>
    </w:p>
    <w:p>
      <w:r>
        <w:t>Arrêt de la IIe Cour des assurances sociales du Tribunal cantonal | Krankenversicherung</w:t>
      </w:r>
    </w:p>
    <w:p>
      <w:pPr>
        <w:pStyle w:val="Heading2"/>
      </w:pPr>
      <w:r>
        <w:t>Erwägungen</w:t>
      </w:r>
    </w:p>
    <w:p>
      <w:r>
        <w:rPr>
          <w:b/>
        </w:rPr>
        <w:t>E. 31</w:t>
      </w:r>
    </w:p>
    <w:p>
      <w:r>
        <w:t>août, ni remplir l'une des exceptions prévues à l'art. 2 al. 2 ORP; que, dès lors qu'au vu de la jurisprudence précitée, la demande doit parvenir à l'autorité intimée au plus tard le 31 août, c'est à juste titre que la Caisse a déclaré irrecevable la demande de réduction des primes pour l'année 2021; que, partant, le recours est rejeté et la décision sur réclamation du 12 novembre 2021 confirmée;</w:t>
      </w:r>
    </w:p>
    <w:p>
      <w:r>
        <w:t>Tribunal cantonal TC Page 4 de 4 que, par analogie avec les prestations en assurance-maladie, domaine dans lequel la procédure est toujours gratuite depuis le 1er janvier 2021, il n'est pas perçu de frais de justice; la Cour arrête : I. Le recours est rejeté.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janvier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