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80 vom 13. Dezember 2021</w:t>
      </w:r>
    </w:p>
    <w:p>
      <w:r>
        <w:t>FR Kantonsgericht, 2021-12-13, FR</w:t>
      </w:r>
    </w:p>
    <w:p>
      <w:r>
        <w:rPr>
          <w:b/>
        </w:rPr>
        <w:t xml:space="preserve">Quelle: </w:t>
      </w:r>
      <w:r>
        <w:t>https://mcp.opencaselaw.ch/entscheid/fr_gerichte_608_2021_80</w:t>
      </w:r>
    </w:p>
    <w:p>
      <w:r>
        <w:t>FR: FR_GERICHTE 608 2021 80 du 13 décembre 2021</w:t>
      </w:r>
    </w:p>
    <w:p>
      <w:r>
        <w:t>IT: FR_GERICHTE 608 2021 80 del 13 dicembre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compte tenu des féries pascales, et dans les formes légales auprès de l'autorité judiciaire compétente par une assurée directement touchée par la décision attaquée,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2.3</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w:t>
      </w:r>
    </w:p>
    <w:p>
      <w:r>
        <w:t>Tribunal cantonal TC Page 4 de 6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 l'autorité (art. 43 al. 1 LPGA), ne s'applique pas à la procédure de l'art. 87 al. 3 RAI (ATF 130 V 64 consid. 5.2.5).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w:t>
      </w:r>
    </w:p>
    <w:p>
      <w:r>
        <w:rPr>
          <w:b/>
        </w:rPr>
        <w:t>E. 3</w:t>
      </w:r>
    </w:p>
    <w:p>
      <w:r>
        <w:t>Est en l'espèce litigieuse la question de savoir si la recourante a établi de manière plausible une éventuelle modification de son état de santé susceptible d'influencer ses droits.</w:t>
      </w:r>
    </w:p>
    <w:p>
      <w:r>
        <w:rPr>
          <w:b/>
        </w:rPr>
        <w:t>E. 3.1</w:t>
      </w:r>
    </w:p>
    <w:p>
      <w:r>
        <w:t>La dernière décision entrée en force reposant sur un examen matériel du droit à la rente est la décision de refus du 29 avril 2010, qui n'a pas été contestée par l'assurée.</w:t>
      </w:r>
    </w:p>
    <w:p>
      <w:r>
        <w:t>Tribunal cantonal TC Page 5 de 6 Pour rendre cette décision, l'OAI s'est basé sur une expertise bidisciplinaire rhumatologique et psychiatrique du 17 décembre 2009, réalisée par le Dr C.________, spécialiste en rhumatologie et médecine interne générale, et la Dre D.________, spécialiste en pathologie ainsi qu'en psychiatrie et psychothérapie (dossier OAI p. 104). Tous deux n'avaient retenu aucun diagnostic avec influence sur la capacité de travail. Seul l'expert-rhumatologue avait retenu des diagnostics sans influence, à savoir une fibromyalgie selon les critères ACR 1990 sous forme d'un syndrome douloureux ubiquitaire avec présence de point de fibromyalgie (Smythe) tous présents (M79.0), un status après gastrite à Helicobacter pylori traitée en 2009, une hernie discale C5-C6 paramédiane latérale gauche actuellement asymptomatique ainsi qu'un tabagisme chronique. L'assurée se plaignait de douleurs d'abord au niveau de la nuque et qui s'étaient ensuite étendues à tout le corps. Présentes jour et nuit, sans aucune modulation, elles étaient accompagnées de paresthésies ubiquitaires et associées à des troubles du sommeil décrit comme non réparateur; elles n'avaient pas été soulagées par les traitements. L'expert-rhumatologue avait constaté l'absence de limitations fonctionnelles et un bon état général, sans atteinte manifeste de l'examen clinique de médecine interne hormis un aspect livédoïde de la peau sans autres lésions cutanées. Au niveau articulaire, il attestait d'une nette discordance entre les allégation douloureuses ubiquitaires et les constatations objectives. Ainsi, par exemple, la recourante n'arrivait pas, lorsque cela lui a été demandé, à lever les bras au-dessus de 90°, alors qu'elle était capable de les lever jusqu'à 170° lorsqu'il lui a été demandé d'indiquer les localisations douloureuses au niveau de la nuque et du dos. Elle se déshabillait aussi sans aucune peine et se relevait prestement de son fauteuil pour se rendre à la salle d'audition sans boiterie. Sur le plan psychiatrique, l'experte n'avait décelé aucun signe d'atteinte psychiatrique et avait observé que l'assurée bénéficiait d'une excellente santé psychique.</w:t>
      </w:r>
    </w:p>
    <w:p>
      <w:r>
        <w:rPr>
          <w:b/>
        </w:rPr>
        <w:t>E. 3.2</w:t>
      </w:r>
    </w:p>
    <w:p>
      <w:r>
        <w:t>Dans le cadre de la seconde demande de prestations, l'OAI a, par décision du 4 juillet 2016, confirmée ensuite tant par la Cour de céans que le Tribunal fédéral, considéré que les rapports produits postérieurement à la décision du 29 avril 2010 n'établissaient aucune aggravation objective et durable de l'état de santé de la recourante. Il en a fait de même par décision du 17 janvier 2018, seule une appréciation différente d’un état de fait objectif qui était resté, pour l’essentiel, inchangé, ayant été rapportée en l'absence de nouvelle atteinte et d'indice en faveur d'une aggravation objective des troubles. Cette décision n'a pas été attaquée.</w:t>
      </w:r>
    </w:p>
    <w:p>
      <w:r>
        <w:rPr>
          <w:b/>
        </w:rPr>
        <w:t>E. 3.3</w:t>
      </w:r>
    </w:p>
    <w:p>
      <w:r>
        <w:t>La recourante a déposé une quatrième demande le 2 mars 2021. Divers rapports médicaux ont été produits depuis le 17 janvier 2018. Il en ressort que les troubles retenus sont toujours identiques à ceux allégués dans les précédentes demandes de prestations, à savoir des douleurs dans tout le corps pour lesquelles les médecins n'ont pas d'explications – pas de polyneuropathie, tableau douloureux diffus sans arguments en faveur d'une organicité neurologique, pas d'élément objectif expliquant la symptomatologie (rapports du 8 juillet 2020 et du 26 janvier 2021 du Dr E.________, spécialiste en neurologie, dossier OAI p. 1273 et 1426; rapport du 28 janvier 2021 du Dr F.________, spécialiste en orthopédie et traumatologie, dossier OAI p. 1387). Quant à l'accident de 2006, il est survenu avant le dépôt de la première demande de prestations et ses éventuelles conséquences sur l'état de santé et la capacité de gain ont pu être appréciées dès le début de l'instruction. Une atteinte à la cheville droite survenue en 2017 est également attestée, sans que l'on sache toutefois si elle aurait une influence sur la capacité de travail (rapport du 26 février 2018 du Dr G.________, spécialiste en chirurgie orthopédique et traumatologie de l'appareil locomoteur auprès de H.________, produit avec le</w:t>
      </w:r>
    </w:p>
    <w:p>
      <w:r>
        <w:t>Tribunal cantonal TC Page 6 de 6 recours; rapport précité du Dr F.________). Les diagnostics posés par le Dr F.________ – status après fracture de la malléole externe, status après maladie de Sudeck cheville droite – laissent au contraire entendre que le trouble est guéri. Quoiqu'il en soit, aucun médecin n'atteste d'incapacité de travail en lien avec cette cheville.</w:t>
      </w:r>
    </w:p>
    <w:p>
      <w:r>
        <w:rPr>
          <w:b/>
        </w:rPr>
        <w:t>E. 3.4</w:t>
      </w:r>
    </w:p>
    <w:p>
      <w:r>
        <w:t>Au vu de ce qui précède, force est de constater que l'assurée n'a pas rendu plausible que son état de santé s'est modifié de manière à influencer sa capacité de travail. Partant, c'est à juste titre que l'autorité intimée s'est refusée à entrer en matière sur sa nouvelle demande.</w:t>
      </w:r>
    </w:p>
    <w:p>
      <w:r>
        <w:rPr>
          <w:b/>
        </w:rPr>
        <w:t>E. 4</w:t>
      </w:r>
    </w:p>
    <w:p>
      <w:r>
        <w:t>Partant, sur le vu de ce qui précède, le recours, manifestement infondé, doit être rejeté et la décision attaquée confirmée. La procédure n'étant pas gratuite, les frais de procédure, par CHF 400.-, sont mis à la charge de la recourante. Ils sont compensés par l'avance de frais du même montant versée le 6 mai 2021. la Cour arrête : I. Le recours est rejeté. II. Les frais de procédure, par CHF 400.-, sont mis à la charge de A.________. Ils sont compensés par l'avance de frais versée le 6 mai 2021.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décembre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