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 vom 16. November 2021</w:t>
      </w:r>
    </w:p>
    <w:p>
      <w:r>
        <w:t>FR Kantonsgericht, 2021-11-16, FR</w:t>
      </w:r>
    </w:p>
    <w:p>
      <w:r>
        <w:rPr>
          <w:b/>
        </w:rPr>
        <w:t xml:space="preserve">Quelle: </w:t>
      </w:r>
      <w:r>
        <w:t>https://mcp.opencaselaw.ch/entscheid/fr_gerichte_608_2021_8</w:t>
      </w:r>
    </w:p>
    <w:p>
      <w:r>
        <w:t>FR: FR_GERICHTE 608 2021 8 du 16 novembre 2021</w:t>
      </w:r>
    </w:p>
    <w:p>
      <w:r>
        <w:t>IT: FR_GERICHTE 608 2021 8 del 16 novembre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w:t>
      </w:r>
    </w:p>
    <w:p>
      <w:r>
        <w:t>Tribunal cantonal TC Page 4 de 14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3.1</w:t>
      </w:r>
    </w:p>
    <w:p>
      <w:r>
        <w:t>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w:t>
      </w:r>
    </w:p>
    <w:p>
      <w:r>
        <w:rPr>
          <w:b/>
        </w:rPr>
        <w:t>E. 3.2</w:t>
      </w:r>
    </w:p>
    <w:p>
      <w:r>
        <w:t>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t>Tribunal cantonal TC Page 5 de 14</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w:t>
      </w:r>
    </w:p>
    <w:p>
      <w:r>
        <w:t>Tribunal cantonal TC Page 6 de 14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5</w:t>
      </w:r>
    </w:p>
    <w:p>
      <w:r>
        <w:t>Est en l'occurrence litigieuse le degré d'invalidité retenu par l'OAI, ce qui renvoie à l'évaluation de la capacité de travail du recourant.</w:t>
      </w:r>
    </w:p>
    <w:p>
      <w:r>
        <w:rPr>
          <w:b/>
        </w:rPr>
        <w:t>E. 5.1</w:t>
      </w:r>
    </w:p>
    <w:p>
      <w:r>
        <w:t>La décision de l'OAI se fonde sur l'évaluation de la capacité de travail faite par le Dr E.________ du 25 mars 2020, complétée le 13 juillet 2020. L'on précise, en outre, que la Cour de céans a requis un complément, lequel est daté du 5 octobre 2021. A titre liminaire, la Cour remarque que le recourant remet l'indépendance de l'expert en cause en se référant à un lien web. Ce lien mène à la page d'accueil d'une émission télévisée dont les derniers reportages ne concernent pas des problématiques d'expertises réalisées dans le cadre de procédures d'assurances sociales. L'on peine dès lors à comprendre la pertinence de ce grief. Quoi qu'il en soit, le simple renvoi à un reportage télévisé ne saurait suffire pour contester valablement l'évaluation de l'état de santé d'un assuré par un ou plusieurs experts dans un cas spécifique. Cela étant, l'évaluation du Dr E.________ est basée sur l'étude du dossier assécurologique transmis par l'OAI, lequel comprenait en particulier des imageries ainsi que des rapports médicaux, complété par un échange avec le psychiatre traitant. A ce stade, la Cour prend note de la critique du recourant, selon lequel l'expert n'aurait jamais eu l'intention de prendre en considération ce dernier échange, survenu le 9 avril 2020. Cette affirmation est basée sur le fait que dit échange de courriels avec son psychiatre est postérieur à la date figurant sur l'expertise, soit le 25 mars 2020. Cependant, force est de constater que le contenu de l'échange est résumé dans le texte même de l'expertise (cf. expertise, p. 14). Cela s'explique par le fait que celle-ci est certes datée du 25 mars 2020 mais qu'elle a été envoyée le 16 avril 2020 seulement (dossier OAI, p. 272). Il est dès lors vraisemblable que la date figurant sur le rapport d'expertise consiste en une simple coquille, comme l'admet par ailleurs l'expert dans son complément du 13 juillet 2020 (dossier OAI, p.310). Outre l'examen du dossier, l'expert s'est également entretenu avec l'assuré le 4 mars 2020. A cette occasion, ce dernier a été en mesure de décrire ses troubles ainsi que leurs conséquences sur son quotidien, notamment le fait qu'il n'ait pas été en mesure de garder ses emplois en raison de conflits systématiques avec ses collègues. Il a également pu décrire ses symptômes, tels un mauvais sommeil, une forte anxiété, une tristesse importante, des oublis fréquents ainsi que des colères, protégeant alors sa famille en quittant son domicile pour aller se promener en forêt. Pour sa part, l'expert a pu procéder à un examen complet de l'assuré, constatant par exemple l'existence de ruminations, d'une humeur moyennement déprimée ainsi que d'une certaine anxiété. Il a également examiné la situation sous l'angle d'un trouble de la personnalité, relevant la présence d'une intolérance à la frustration provoquant des réactions violentes et impulsives incontrôlables depuis le plus jeune âge, infiltrant l'ensemble de sa vie.</w:t>
      </w:r>
    </w:p>
    <w:p>
      <w:r>
        <w:t>Tribunal cantonal TC Page 7 de 14 Sur cette base, l'expert retient les diagnostics de "trouble dépressif récurrent d’intensité légère, sans syndrome somatique F33.0" et de "trouble de personnalité de type émotionnellement labile dans sa forme impulsive F60.30". Par ce choix, l'expert écarte d'autres diagnostics figurant dans le dossier, s'expliquant de manière détaillée sur ces problématiques. Par exemple, il écarte le diagnostic de personnalité de type antisociale (F60.20) évoquée par le psychiatre traitant, constatant que le recourant a pleinement conscience de sa responsabilité alors qu'une personnalité de type antisociale aurait tendance à incriminer autrui. De même, il renonce à retenir le diagnostic de trouble mixte de la personnalité avec des aspects impulsifs et des aspects paranoïaques également cité par le psychiatre traitant, admettant l'existence d'une certaine impulsivité mais notant l'absence "de rancune ou de pardon". Par ailleurs, l'expert examine les différents traitements suivis par le recourant jusqu'à ce jour, constatant leur faible posologie et proposant deux pistes de modification médicamenteuse ainsi qu'une intensification de la prise en charge psychologique. S'agissant de la capacité de travail, l'expert se fonde sur les critères posés par la jurisprudence, constatant notamment la cohérence des examens avec les plaintes ainsi qu'en décrivant les capacités, les ressources et les difficultés de l'assuré. Par exemple, il estime que le trouble de la personnalité sera responsable d'une instabilité professionnelle, ce qui se traduit par un besoin d'autonomie, de peu de hiérarchie et du moins de contacts possibles. Il remarque par ailleurs que l'échec des emplois n'est pas corrélé au temps de travail, soulignant l'échec d'emplois exercés à des taux de 25% et de 30%. De ce fait, il doute que le fait de réduire le temps de travail aura une grande incidence sur l'exigibilité d'un emploi. En revanche, constatant que l'ensemble des pistes thérapeutiques n'a pas encore été exploré, il refuse de considérer que les troubles ne sont pas traitables. Il considère, au contraire, qu'ils peuvent être surmontées à l'aide d'une médiation adaptée ainsi qu'en modifiant les thérapies. Tout au plus estime-t-il important de donner au recourant du temps pour que les changements fassent effet. Si, s'agissant de l'évaluation de la capacité de travail, l'explication pouvait être considérée comme peu claire dans les rapports du 25 mars et du 13 juillet 2020, l'expert a par la suite corrigé l'ensemble des imprécisions dans son raisonnement dans un complément du 3 octobre 2021. Il explique ainsi constater que, initialement, le recourant était suivi par un premier psychiatre, lequel prescrivait un traitement adéquat qui aurait à terme permis de juguler les conséquences comportementales du trouble de la personnalité. Cependant, le recourant a changé de psychiatre et le nouveau médecin a modifié le traitement, vraisemblablement en novembre 2016. Ce nouveau traitement était moins adapté. Depuis lors et jusqu'à son propre examen, le Dr E.________ estime que la capacité de travail est demeurée à 60%, se référant à l'estimation du Dr D.________ (examen d'août 2018) et à l'absence de modification franche du traitement durant cette période. En revanche, pour l'avenir, il propose de revenir à un traitement proche de celui prescrit par le premier psychiatre en charge de l'assuré. Avec cet aménagement thérapeutique, il estime que le recourant sera en mesure de surmonter ses atteintes, se rattachant en cela à l'évaluation du Dr C.________. Il estime dès lors que la capacité de travail pourra être portée à 100% dès le 1er juillet 2020. A ce stade, la Cour souligne que la question de la mise en œuvre effective du traitement proposé par l'expert peut demeurer ouverte dès lors que, même en tenant compte d'une capacité de travail de 60%, la comparaison des revenus n'aboutit pas à une rente (cf. consid. 7 ci-dessous). Enfin, la Cour constate que la date de l’augmentation de la capacité de travail au mois de juillet 2020 est un pronostic, dans la mesure où l’amélioration retenue découle d’une modification du traitement. Or, la mise en place du nouveau traitement aurait pu justifier de repousser la date (théorique) de l’amélioration évoquée par l’expert, laquelle ne pouvait manifestement pas se faire du jour au</w:t>
      </w:r>
    </w:p>
    <w:p>
      <w:r>
        <w:t>Tribunal cantonal TC Page 8 de 14 lendemain. Toutefois, le psychiatre traitant refuse – encore à ce jour – de suivre les recommandations de l’expert. Or, en l’espèce, repousser la date d’amélioration n’aurait, ainsi qu’il a déjà été évoqué, aucune incidence sur le droit aux prestations (cf. consid. 7 ci-dessous). Il ressort de l'ensemble de ce qui précède que l'expertise du Dr E.________, convaincante et bien motivée, remplit les critères pour se voir reconnaître une pleine valeur probante.</w:t>
      </w:r>
    </w:p>
    <w:p>
      <w:r>
        <w:rPr>
          <w:b/>
        </w:rPr>
        <w:t>E. 5.2</w:t>
      </w:r>
    </w:p>
    <w:p>
      <w:r>
        <w:t>Ainsi qu'évoqué ci-avant, dans son rapport d'expertise, le Dr E.________ précise et complète l'appréciation des deux autres experts interrogés par l'assurance perte de gain, le Dr C.________ et le Dr D.________. Dans son rapport du 28 octobre 2016, complété le 10 février 2017 (dossier OAI, p. 45 et 101), le Dr C.________ retenait déjà les diagnostics invalidants de "trouble dépressif récurrent, épisode actuel d’une intensité légère, sans syndrome somatique" (F33.0) et de "trouble de la personnalité émotionnellement instable, type impulsif" (F60.30). Expurgeant de son appréciation la situation de vie privée compliquée, un certain isolement social, des contraintes financières et des perspectives encore très incertaines sur le marché du travail, ce premier expert considérait que "l‘assuré sera[it] capable, en mobilisant toute sa bonne volonté et en définissant des priorités, de reprendre le travail progressivement dès à présent, débutant à 50%, avec une augmentation à 100% à partir du 1er janvier 2017 au plus tard". Vu l’organisation pathologique de la personnalité de l’assuré, il recommandait que celui-ci exerce une activité avec peu d’exigences sur le plan social. Pour sa part, dans son rapport du 4 septembre 2018 (dossier OAI, p. 165), le Dr D.________ citait également les diagnostics invalidants de "trouble dépressif récurrent, épisode dépressif moyen sans syndrome somatique" (F33.0) et de "trouble de la personnalité émotionnellement labile, type impulsif" (F60.30). Pour sa part, il relevait que la crainte principale "de l'assuré résid[ait] dans l'aspect impulsif et incontrôlable de son trouble de la personnalité qui lui [faisait] redouter un débordement de violence lors d'un passage à l'acte et de commettre l'irréparable en tuant quelqu'un", admettant cependant que cet aspect "n'entr[ait] pas directement dans les critères de détermination de la capacité de travail". Dans ce contexte, il soulignait que "la seule limitation fonctionnelle retenue ce jour [est] donc une angoisse anticipatoire d'un acte violent impulsif hétéro agressif". Compte tenu de cette limitation, il proposait une reprise du travail à un taux de 60%. L'on constate ainsi que, si les deux experts de l'assurance perte de gain s'accordent sur les diagnostics, leur appréciation de la capacité de travail diffère. Cette différence d'appréciation est liée au fait que, entre les deux expertises, le traitement du recourant a été modifié. Cela étant, c'est bien cette différence d'appréciation qui a conduit l'OAI à diligenter sa propre expertise auprès du Dr E.________, laquelle – ainsi qu'on l'a vu – tranche cette problématique d'une manière convaincante et argumentée. Ce raisonnement est particulièrement explicite dans le rapport complémentaire du 3 octobre 2021, l'expert indiquant ainsi ce qui suit: "L'introduction du risperdal à la posologie de 2 mg par le [psychiatre traitant] (vraisemblablement en 08/16 date de début de la prise en charge par ce confrère) est une prescription adaptée au regard du diagnostic de trouble de [la] personnalité par les guidelines. En revanche, cette prescription n'a pas été poursuivie sur un temps suffisamment long pour juguler les conséquences comportementales du trouble de [la] personnalité (RM du 11/16 mentionnant une prescription d'abilify à la place de la risperdal). Ce dernier fut repris à l'occasion d'un changement de thérapeute (11/17?) par le [nouveau psychiatre] mais à doses insuffisantes".</w:t>
      </w:r>
    </w:p>
    <w:p>
      <w:r>
        <w:t>Tribunal cantonal TC Page 9 de 14 En d'autres termes, on constate que les appréciations des Drs C.________ et D.________ vont dans le même sens que celle du Dr E.________, renforçant de ce fait cette dernière appréciation.</w:t>
      </w:r>
    </w:p>
    <w:p>
      <w:r>
        <w:rPr>
          <w:b/>
        </w:rPr>
        <w:t>E. 5.3</w:t>
      </w:r>
    </w:p>
    <w:p>
      <w:r>
        <w:t>Le recourant se prévaut de l'avis de ses médecins traitants, renvoyant essentiellement aux rapports de son psychiatre, le Dr G.________. Depuis le début de son suivi, celui-ci retient les diagnostics invalidants d'"évolution déficitaire d’un trouble dépressif récurrent (F33) associé à un trouble mixte de la personnalité (F61), voire à une modification durable de la personnalité après expérience de catastrophe (F62)". En raison de ces diagnostics, il atteste d'une incapacité de travail totale. Celle-ci est liée aux nombreuses restrictions qu'il retient – à savoir: "instabilité marquée de l'humeur, irritabilité, impulsivité, fatigabilité, seuil de tolérance à la frustration bas, perte de la confiance en soi, déconditionnement global depuis 2 ans" – lesquelles se manifestent par des conflits et des tensions interpersonnelles, des accès de colère/agressivité, un risque d'absentéisme élevé ainsi qu'un manque d'adaptation (rapport du</w:t>
      </w:r>
    </w:p>
    <w:p>
      <w:r>
        <w:rPr>
          <w:b/>
        </w:rPr>
        <w:t>E. 5.4</w:t>
      </w:r>
    </w:p>
    <w:p>
      <w:r>
        <w:t>Il ressort de l'ensemble de ce qui précède que la capacité de travail de l'assuré est restreinte depuis le mois d'avril 2016. Depuis lors, mais au plus tard depuis novembre 2016 (date de la prise en charge par le Dr G.________), elle doit être évaluée à 60%, tant dans l'ancienne activité que dans une activité adaptée. Puis, depuis le 1er juillet 2020 et l'introduction d'un traitement adapté, la capacité de travail doit être considérée comme entière. 6. Dans la décision litigieuse du 7 octobre 2016, l'OAI est parti du principe que son assuré ne "souffr[e] pas d’une atteinte à la santé invalidante au sens de l’art. 4 de la loi sur l’assurance-invalidité" de sorte qu'il a considéré la capacité de travail et de gain comme entière. Au vu des pièces du dossier, cette conclusion apparaît un peu courte. Certes, depuis le 1er octobre 2020, le degré d'invalidité est nul, l'assuré devant se voir reconnaître une capacité de travail entière également dans ses anciennes professions. En revanche, ainsi qu'on l'a vu, la capacité de travail de l'assuré était, auparavant, restreinte. Il convient dès lors de procéder au calcul du degré d'invalidité pour cette période. 6.1.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6.2.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6.3.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t>Tribunal cantonal TC Page 11 de 14 6.4.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7. Ainsi que retenu ci-avant, du mois d'avril 2016 au mois de juin 2020, la capacité de travail du recourant est estimée à 60%. Depuis le 1er juillet 2020, la capacité de travail doit être considérée comme entière. 7.1. Le recourant a quitté ses précédents emplois après des "pertes de contrôle" et des "bagarres" avec ses collègues, supérieurs, comptables, fournisseurs et clients. De l'avis d'experts, ces disputes sont la manifestation de son trouble psychique. Le Dr E.________ souligne ainsi: "Le trouble de [la] personnalité sera responsable d’une franche instabilité professionnelle (tel qu’on peut le constater), de difficultés relationnelles importantes avec ce comportement agressif, d'une instabilité émotionnelle et surtout d’une impossibilité à s’intégrer à une équipe".</w:t>
      </w:r>
    </w:p>
    <w:p>
      <w:r>
        <w:t>Tribunal cantonal TC Page 12 de 14 On peut dès lors admettre que, s'il n'avait pas été atteint à sa santé, l'assuré aurait continué de travailler auprès de ses précédents employeurs. Dans ce contexte, s'agissant du revenu de valide, la Cour se réfère aux précédents revenus de l'assuré. Dans la mesure où la dernière activité salariée consistait à travailler dans le magasin tenu par son épouse – ce qui pourrait impliquer un revenu non représentatif – la Cour va plutôt se référer aux revenus moyens de l'assuré entre 2011 et 2015 selon son extrait de compte individuel AVS, à savoir CHF 52'371.- (dossier OAI, p. 64). Ce montant doit être adapté à l'évolution des salaires nominaux (soit CHF 53'202.65, indices de 2204 pour 2013 et 2239 pour 2016, cf. OFS, T39 Evolution des salaires nominaux, des prix à la consommation et des salaires réels, Hommes). Partant, le revenu de valide est fixé à CHF 53'202.65. 7.2. S'agissant ensuite du revenu d'invalide, en l'absence d'un revenu effectivement réalisé, il convient de se référer au montant mensuel de CHF 5'340.-, soit CHF 64'080.- annuellement, correspondant au salaire médian du secteur privé selon les chiffres de l'Enquête suisse sur la structure des salaires 2016 (ESS 2016, TA1_Skill level, totaux, niveau de compétences 1, hommes).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prendre en compte la durée usuelle du travail de 41.7 heures par semaine en 2016 (CHF 66'803.40, cf. OFS, Durée normale du travail dans les entreprises selon la division économique, Tous les secteurs). Au vu de la capacité de travail de 60% médicalement attestée par les experts-psychiatres interrogés, le revenu d'invalide est fixé à CHF 40'082.05. 7.3. Partant, pour la période allant du 1er avril 2017 (6 mois après le dépôt de la demande de prestations en octobre 2016) au 30 septembre 2020 (3 mois après l'amélioration de l'état de santé, la comparaison des revenus de valide (CHF 53'202.65) et d'invalide (CHF 40'082.05) aboutit à une perte de gain qui se monte à CHF 13'120.60. Cela correspond à un degré d'invalidité de 24.66%, soit 25% (cf. ATF 130 V 121). Dès le 1er octobre 2020, en présence d'une capacité de travail de 100% dans toutes les activités, le revenu d'invalide dépasse manifestement le revenu de valide. Le degré d'invalidité est donc nul. Indépendamment de la période concernée, le recourant ne peut dès lors pas se voir reconnaître de droit à une rente. En effet, une perte de gain inférieure à 40% ne donne pas droit à une rente de l'assurance-invalidité. La prise en compte d'un revenu de valide plus élevé, par exemple fondé sur le seul revenu de l'année 2015 (CHF 56'434.-; cf. dossier OAI, p. 64) ou sur le gain assuré auprès de l'assurance-chômage (CHF 62'532.00; cf. dossier OAI, p. 42), n'aurait pas d'impact sur le droit à la rente. De même, la</w:t>
      </w:r>
    </w:p>
    <w:p>
      <w:r>
        <w:t>Tribunal cantonal TC Page 13 de 14 prise en considération d'une réduction supplémentaire du revenu statistique au titre de désavantage salarial n'apparaît pas avoir d'impact notable sur le calcul du degré d'invalidité. En effet, celle-ci ne saurait dépasser 5% compte tenu de la situation concrète de l'assuré, lequel est âgé de moins de 40 ans, étant rappelé que l'éloignement du marché du travail n'est pas un facteur d'abattement (cf. arrêt TF 9C_273/2019 du 18 juillet 2019 consid. 6) et qu'il n'y a pas lieu de tenir compte une seconde fois de limitations qui ont déjà été prises en considération sous l'angle médical (arrêts TF 9C_273/2019 du 18 juillet 2019 consid. 6.1; 9C_847/2018 du 2 avril 2019 consid. 6.2.3). Enfin, les conditions pour procéder à une comparaison en pourcents n'apparaissent ici pas remplies. En effet, il a été possible de déterminer des revenus de valide et d'invalides précisément (cf. ATF 104 V 135 consid. 2b). L'on rappelle que,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(cf. arrêt TF 9C_584/2017 du 17 juillet 2018 consid. 3.3 et les références citées).</w:t>
      </w:r>
    </w:p>
    <w:p>
      <w:r>
        <w:rPr>
          <w:b/>
        </w:rPr>
        <w:t>E. 8</w:t>
      </w:r>
    </w:p>
    <w:p>
      <w:r>
        <w:t>Le recours, mal fondé, doit être rejeté et la décision querellée confirmée. La procédure n'étant pas gratuite, les frais de justice, fixés à CHF 800.-, sont mis à la charge du recourant. Ils sont compensés avec l'avance de CHF 800.- effectuée. Compte tenu de l'issue du recours, il n'est pas octroyé d'indemnité de partie. (dispositif en page suivante)</w:t>
      </w:r>
    </w:p>
    <w:p>
      <w:r>
        <w:t>Tribunal cantonal TC Page 14 de 14 la Cour arrête : I. Le recours est rejeté. II. Les frais de justice, fixés à CHF 800.-, sont mis à la charge du recourant; ils sont compensés avec son 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