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78 vom 14. Juli 2021</w:t>
      </w:r>
    </w:p>
    <w:p>
      <w:r>
        <w:t>FR Kantonsgericht, 2021-07-14, FR</w:t>
      </w:r>
    </w:p>
    <w:p>
      <w:r>
        <w:rPr>
          <w:b/>
        </w:rPr>
        <w:t xml:space="preserve">Quelle: </w:t>
      </w:r>
      <w:r>
        <w:t>https://mcp.opencaselaw.ch/entscheid/fr_gerichte_608_2021_78</w:t>
      </w:r>
    </w:p>
    <w:p>
      <w:r>
        <w:t>FR: FR_GERICHTE 608 2021 78 du 14 juillet 2021</w:t>
      </w:r>
    </w:p>
    <w:p>
      <w:r>
        <w:t>IT: FR_GERICHTE 608 2021 78 del 14 luglio 2021</w:t>
      </w:r>
    </w:p>
    <w:p>
      <w:pPr>
        <w:pStyle w:val="Heading2"/>
      </w:pPr>
      <w:r>
        <w:t>Regeste</w:t>
      </w:r>
    </w:p>
    <w:p>
      <w:r>
        <w:t>Arrêt de la IIe Cour des assurances sociales du Tribunal cantonal | Erwerbsersatz</w:t>
      </w:r>
    </w:p>
    <w:p>
      <w:pPr>
        <w:pStyle w:val="Heading2"/>
      </w:pPr>
      <w:r>
        <w:t>Erwägungen</w:t>
      </w:r>
    </w:p>
    <w:p>
      <w:r>
        <w:rPr>
          <w:b/>
        </w:rPr>
        <w:t>E. 1</w:t>
      </w:r>
    </w:p>
    <w:p>
      <w:r>
        <w:t>La loi fribourgeoise du 9 septembre 2010 sur les allocations de maternité (LAMat; RSF 836.3) est applicable dans la présente affaire, dès lors que le litige porte sur des allocations cantonales de maternité dues pour les années 2017 et 2018. Selon l'art. 27 al. 2 LAMat, les décisions sur réclamation prises par la Caisse en matière d'allocations cantonales de maternité sont sujettes à recours au Tribunal cantonal. Interjeté en temps utile auprès de l'autorité judiciaire compétente et dans les formes légales exigées par une assurée directement touchée par la décision attaquée, le recours est recevable.</w:t>
      </w:r>
    </w:p>
    <w:p>
      <w:r>
        <w:rPr>
          <w:b/>
        </w:rPr>
        <w:t>E. 2</w:t>
      </w:r>
    </w:p>
    <w:p>
      <w:r>
        <w:t>En vertu de l'art. 1 LAMat, un régime d'allocations est institué dans le but de garantir la sécurité matérielle lors de l'accouchement ou de l'adoption. En vertu de l'art. 17 LAMat, peuvent exercer le droit aux allocations de maternité et d'adoption l'ayant droit ou son représentant légal, son conjoint ainsi que le tiers ou l'autorité désignés à l'art. 20 (al. 1). Pour faire valoir ce droit, la personne doit remettre à l'organe d'application désigné à l'art. 22 une formule de demande dûment remplie (al. 2). Selon l'art. 18 LAMat, les personnes habilitées à exercer le droit doivent fournir à l'organe d'application tous les renseignements et pièces justificatives nécessaires à l'examen de la demande. Le règlement d'exécution fixe la procédure. D'après l'art. 21 LAMat, le droit de demander le paiement des allocations de maternité et d'adoption se prescrit par six mois à compter de la fin du mois pour lequel elles étaient dues. Aux termes de l'art. 22 al. 1 LAMat, l'application du régime des allocations de maternité et d'adoption est confiée à la Caisse cantonale de compensation AVS.</w:t>
      </w:r>
    </w:p>
    <w:p>
      <w:r>
        <w:rPr>
          <w:b/>
        </w:rPr>
        <w:t>E. 3.1</w:t>
      </w:r>
    </w:p>
    <w:p>
      <w:r>
        <w:t>En vertu d'un principe général, de rang constitutionnel, les organes de l’État et les particuliers doivent agir de manière conforme aux règles de la bonne foi (art. 5 al. 3 de la Constitution fédérale</w:t>
      </w:r>
    </w:p>
    <w:p>
      <w:r>
        <w:t>Tribunal cantonal TC Page 4 de 6 de la Confédération suisse, du 18 avril 1999 [Cst.; RS 101]). Ce principe est complété par un droit constitutionnel, source de prétentions justiciables devant les autorités et tribunaux, à savoir celui qui prévoit que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pour autant que soient réalisées les conditions exceptionnelles dans lesquelles le principe de la bonne foi doit l'emporter sur celui de la légalité, au point que ces personnes sont fondées à obtenir une adaptation de leur régime légal dans la mesure nécessaire au respect du principe de la bonne foi (MOOR/FLÜCKIGER/MARTENET, Droit administratif, 3ème éd., vol. I, 2012, n. 6.4.1). L'administration peut ainsi se trouver liée par des renseignements et des assurances qu'elle aurait données, pour autant qu'elle était compétente (à tout le moins apparemment) pour les donner, que les renseignements ou assurances en question étaient inexacts, ont été fournis sans réserve, en termes clairs et catégoriques, en rapport avec une situation concrète déterminée, que leur inexactitude ne tient pas à un changement subséquent de la loi, que l'administré n'a pas été en mesure, en faisant preuve d'un minimum d'attention, de reconnaître l'erreur, et qu'il a pris, en se fiant à ces renseignements, des dispositions irréversibles ou n’a pas pris celles qu’à défaut il aurait prises (MOOR/FLÜCKIGER/MARTENET, n. 6.4.2).</w:t>
      </w:r>
    </w:p>
    <w:p>
      <w:r>
        <w:rPr>
          <w:b/>
        </w:rPr>
        <w:t>E. 3.2</w:t>
      </w:r>
    </w:p>
    <w:p>
      <w:r>
        <w:t>Le principe de la bonne foi s'applique en matière d'assurances sociales. Le législateur en a ancré certaines de ses prémisses dans la loi du 6 octobre 2000 sur la partie générale du droit des assurances sociales (LPGA; RS 830.1) et les lois spécifiques, à savoir le devoir de renseigner.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Tandis que l'art. 27 al. 1 LPGA vise l'obligation de renseigner, soit une information générale, l'art. 27 al. 2 LPGA prescrit une obligation de conseil, ce par quoi il faut entendre une information touchant un cas particulier (KIESER, ATSG-Kommentar, 4ème éd., 2020, art. 27 n° 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Dans la mesure où la législation ici applicable constitue du droit cantonal autonome - dès lors qu'il ne s'agit pas de dispositions prises en exécution du droit fédéral, et en particulier de la loi du</w:t>
      </w:r>
    </w:p>
    <w:p>
      <w:r>
        <w:t>Tribunal cantonal TC Page 5 de 6 25 septembre 1952 sur les allocations pour perte de gain en cas de service et de maternité (LAPG; RS 834.1), mais bien d'un système additionnel, visant à compléter celui mis en place au niveau fédéral (cf. ATF 126 V 30) - elle n'est pas soumise à la LPGA. Cela étant, l'art. 23 al. 1er LAMat prévoit que les autorités administratives et judiciaires fournissent gratuitement les informations et les documents nécessaires à l'application de la présente loi. De plus, l’art 8 du Code du 23 mai 1991 de procédure et de juridiction administrative (CPJA; RS 150.1) oblige l’Etat à respecter notamment le principe de la bonne foi. On peut dès lors sans autre se référer à la jurisprudence et à la doctrine précitées rendues en application de l'art. 27 LPGA.</w:t>
      </w:r>
    </w:p>
    <w:p>
      <w:r>
        <w:rPr>
          <w:b/>
        </w:rPr>
        <w:t>E. 4</w:t>
      </w:r>
    </w:p>
    <w:p>
      <w:r>
        <w:t>En l'espèce, la question litigieuse est celle de savoir si l'autorité intimée était tenue d'informer la recourante de la possibilité pour elle de requérir des allocations de maternité pour sa fille C.________, née en 2017. A la lumière des considérants qui précèdent, il appert que l'administration n'a pas à fournir des renseignements dans une mesure plus étendue que celle qui découle de la loi. Or, on ne saurait déduire de la législation applicable au cas d'espèce une obligation de la Caisse de fournir des renseignements de son propre chef, c'est-à-dire de manière spontanée, sans avoir été sollicitée par l'assurée. Il appartient au contraire à chaque assurée de s'informer sur ses droits et d'entreprendre spontanément les démarches nécessaires pour les faire valoir, conformément à l'art. 17 LAMat. Le législateur cantonal n'a nullement entendu imposer à la Caisse la charge d'informer, spontanément et généralement, les assurés de leur droit éventuel à des prestations d'assurance-maternité. On ne saurait en particulier tirer une telle obligation de la lecture de l'art. 23 LAMat. Si, à l'instar de ce qui prévaut en droit fédéral (cf. art. 27 LPGA), l'autorité a effectivement le devoir de renseigner et de conseiller les assurés qui s'adressent à elle pour obtenir des éclaircissements, il revient néanmoins à ces derniers d'initier la démarche; à défaut, l'autorité peut s'acquitter de son obligation par le biais de publications générales (brochures, Internet) ce qui, compte tenu de la large disponibilité de ces moyens d'information, n'apparaît pas disproportionné; un tel procédé est d'ailleurs admis par la jurisprudence (cf. ATF 126 V 529). S'agissant des allocations de maternité litigieuses, le site internet de la Caisse contient de nombreuses informations, notamment quant à la prescription du droit (www.caisseavsfr.ch/particuliers/prestations-apgamatapatapc/allocation-de-maternite-cantonale/). Partant, on ne saurait donc reprocher à cette dernière une violation de son obligation d'informer et le grief soulevé par la recourante est par conséquent manifestement infondé. Au demeurant, il ressort du texte légal que le législateur cantonal a effectivement entendu restreindre les modalités du versement des allocations cantonales de maternité, en prévoyant un délai de six mois pour en demander le paiement, au-delà duquel le droit se prescrit. Ainsi que le relève la Caisse, ledit législateur a sciemment limité la possibilité de requérir le versement de ces prestations, en insistant sur la nécessité d'en bénéficier au moment de la naissance de l'enfant, et non plusieurs années plus tard (cf. message n° 195 du 17 mai 2010 du Conseil d'Etat accompagnant le projet de loi sur les allocations de maternité, p. 6). Il en découle que la demande déposée par la recourante deux ans après la naissance de son enfant doit être considérée comme tardive, de sorte que l'autorité intimée était fondée à la rejeter.</w:t>
      </w:r>
    </w:p>
    <w:p>
      <w:r>
        <w:rPr>
          <w:b/>
        </w:rPr>
        <w:t>E. 5</w:t>
      </w:r>
    </w:p>
    <w:p>
      <w:r>
        <w:t>Le recours doit par conséquent être rejeté et la décision sur opposition querellée confirmée.</w:t>
      </w:r>
    </w:p>
    <w:p>
      <w:r>
        <w:t>Tribunal cantonal TC Page 6 de 6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