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35 vom 14. Oktober 2021</w:t>
      </w:r>
    </w:p>
    <w:p>
      <w:r>
        <w:t>FR Kantonsgericht, 2021-10-14, FR</w:t>
      </w:r>
    </w:p>
    <w:p>
      <w:r>
        <w:rPr>
          <w:b/>
        </w:rPr>
        <w:t xml:space="preserve">Quelle: </w:t>
      </w:r>
      <w:r>
        <w:t>https://mcp.opencaselaw.ch/entscheid/fr_gerichte_608_2021_35</w:t>
      </w:r>
    </w:p>
    <w:p>
      <w:r>
        <w:t>FR: FR_GERICHTE 608 2021 35 du 14 octobre 2021</w:t>
      </w:r>
    </w:p>
    <w:p>
      <w:r>
        <w:t>IT: FR_GERICHTE 608 2021 35 del 14 ottobre 2021</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w:t>
      </w:r>
    </w:p>
    <w:p>
      <w:r>
        <w:rPr>
          <w:b/>
        </w:rPr>
        <w:t>E. 2.1</w:t>
      </w:r>
    </w:p>
    <w:p>
      <w:r>
        <w:t>Selon l'art. 4 al. 1 let. c de la loi du 6 octobre 2006 sur les prestations complémentaires à l'AVS et à l'AI (LPC; RS 831.30), les personnes qui ont leur domicile et leur résidence habituelle en Suisse ont droit à des prestations complémentaires dès lors qu'elles ont droit à une rente ou à une</w:t>
      </w:r>
    </w:p>
    <w:p>
      <w:r>
        <w:t>Tribunal cantonal TC Page 3 de 6 allocation pour impotent de l'assurance-invalidité (AI) ou perçoivent des indemnités journalières de l'AI sans interruption pendant six mois au moins.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w:t>
      </w:r>
    </w:p>
    <w:p>
      <w:r>
        <w:rPr>
          <w:b/>
        </w:rPr>
        <w:t>E. 2.2</w:t>
      </w:r>
    </w:p>
    <w:p>
      <w:r>
        <w:t>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ainsi que les pensions alimentaires prévues par le droit de la famille (let. h).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concernant les prestations complémentaires à l’AVS et à l’AI (ci-après: DPC), état au 1er janvier 2021, les éléments de revenu et de fortune auxquels il a été renoncé sont pris en compte dans le calcul PC comme s’il n’y avait pas été renoncé (DPC ch. 3510.01).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de fortune (arrêt TF 9C_670/2012 du 7 juin 2013); partant, il n’est pas nécessaire qu'un requérant ait eu la volonté de commettre un dessaisissement pour en admettre l'existence. Le revenu déterminant le droit aux prestations complémentaires revenant à une personne séparée ou divorcée comprend les contributions d'entretien qui ont fait l'objet de la convention relative aux effets accessoires du divorce ou qui ont été fixées par le juge, sans égard au fait que ces contributions sont ou non effectivement versées par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(arrêt TF P 68/02 du 11 février 2004 consid. 3.2). La preuve du caractère irrécouvrable de la créance incombe au bénéficiaire de prestations complémentaires (DPC ch. 3523.01).</w:t>
      </w:r>
    </w:p>
    <w:p>
      <w:r>
        <w:t>Tribunal cantonal TC Page 4 de 6</w:t>
      </w:r>
    </w:p>
    <w:p>
      <w:r>
        <w:rPr>
          <w:b/>
        </w:rPr>
        <w:t>E. 2.3</w:t>
      </w:r>
    </w:p>
    <w:p>
      <w:r>
        <w:t>Le jugement de divorce entré en force produit ses effets et est exécutoire aussi longtemps que le jugement sur la modification n'est pas devenu lui-même définitif, sauf exceptionnellement en présence de mesures provisionnelles (ATF 118 II 228 consid. 3b; arrêt TF 5A_732/2012 du</w:t>
      </w:r>
    </w:p>
    <w:p>
      <w:r>
        <w:rPr>
          <w:b/>
        </w:rPr>
        <w:t>E. 4</w:t>
      </w:r>
    </w:p>
    <w:p>
      <w:r>
        <w:t>Au vu de ce qui précède, le recours doit être rejeté et la décision sur opposition attaquée confirmée. Il n'est pas perçu de frais de justice. (dispositif en page suivante)</w:t>
      </w:r>
    </w:p>
    <w:p>
      <w:r>
        <w:t>Tribunal cantonal TC Page 6 de 6 la Cour arrête :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octobre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