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209 vom 6. April 2022</w:t>
      </w:r>
    </w:p>
    <w:p>
      <w:r>
        <w:t>FR Kantonsgericht, 2022-04-06, FR</w:t>
      </w:r>
    </w:p>
    <w:p>
      <w:r>
        <w:rPr>
          <w:b/>
        </w:rPr>
        <w:t xml:space="preserve">Quelle: </w:t>
      </w:r>
      <w:r>
        <w:t>https://mcp.opencaselaw.ch/entscheid/fr_gerichte_608_2021_209</w:t>
      </w:r>
    </w:p>
    <w:p>
      <w:r>
        <w:t>FR: FR_GERICHTE 608 2021 209 du 6 avril 2022</w:t>
      </w:r>
    </w:p>
    <w:p>
      <w:r>
        <w:t>IT: FR_GERICHTE 608 2021 209 del 6 aprile 2022</w:t>
      </w:r>
    </w:p>
    <w:p>
      <w:pPr>
        <w:pStyle w:val="Heading2"/>
      </w:pPr>
      <w:r>
        <w:t>Regeste</w:t>
      </w:r>
    </w:p>
    <w:p>
      <w:r>
        <w:t>Arrêt de la IIe Cour des assurances sociales du Tribunal cantonal | Invalidenversicherung</w:t>
      </w:r>
    </w:p>
    <w:p>
      <w:pPr>
        <w:pStyle w:val="Heading2"/>
      </w:pPr>
      <w:r>
        <w:t>Erwägungen</w:t>
      </w:r>
    </w:p>
    <w:p>
      <w:r>
        <w:rPr>
          <w:b/>
        </w:rPr>
        <w:t>E. 27</w:t>
      </w:r>
    </w:p>
    <w:p>
      <w:r>
        <w:t>octobre 2021, reprenant un projet de décision du 5 mai 2021, derechef rejeté la demande de prestations. D. Par courrier portant la date du 26 mai 2021, adressé à l'OAI et reçu par celui-ci le 18 novembre 2011, son dentiste traitant s'est opposé à cette décision, demandant son annulation. Le 24 novembre 2021, B.________ a contresigné ce courrier, lequel a été transmis au Tribunal cantonal comme objet de sa compétence le 30 novembre 2021. A l'appui du recours, le dentiste traitant soutient que l'hyperodontie est certes liée au fait que les dents 12 et 13 sont retenues par la dent 11, mais primairement par de nombreuses petites dents malformées "se trouvant palatinal de la dent 11". Le 17 janvier 2022, l'avance de frais de CHF 400.- a été payée. Dans ses observations du 25 janvier 2022, l'OAI propose le rejet du recours, indiquant que sa décision est fondée sur les avis des médecins de son SMR. Il sera fait état des arguments, invoqués par les parties à l'appui de leurs conclusions, dans les considérants en droit du présent arrêt, pour autant que cela soit utile à la solution du litige. en droit 1. Le recours a été interjeté en temps utile et dans les formes légales auprès de l’autorité intimée qui l’a transmis d’office à l’autorité judiciaire compétente à raison du lieu et de la matière. Légalement représenté par sa mère qui a régularisé le recours, l'assuré est en outre directement atteint par la</w:t>
      </w:r>
    </w:p>
    <w:p>
      <w:r>
        <w:t>Tribunal cantonal TC Page 3 de 7 décision querellée et a dès lors un intérêt digne de protection à ce qu'elle soit, cas échéant, annulée ou modifiée. Partant,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 2.2. Aux termes de l'art. 13 LAI,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Selon l'art. 1er de l'ordonnance du 9 décembre 1985 sur les infirmités congénitales (OIC; RS 831.232.21; en vigueur jusqu'au 31 décembre 2021),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La liste annexée à l'OIC mentionne parmi les infirmités congénitales au sens de ce qui précède l'hyperodontie congénitale, lorsque la ou les dents surnuméraires provoquent une déviation intramaxillaire ou intramandibulaire qui nécessitent un traitement au moyen d’appareils (ch. 207). 2.3.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 Les mesures médicales accordées conformément à l'art. 13 LAI doivent tendre, en principe, à soigner l'infirmité congénitale elle-même (cf. arrêt TF I 576/05 du 25 novembre 2005, consid. 3.1).</w:t>
      </w:r>
    </w:p>
    <w:p>
      <w:r>
        <w:t>Tribunal cantonal TC Page 4 de 7 La jurisprudence admet toutefois qu'elles puissent traiter une affection secondaire qui n'appartient certes pas à la symptomatologie de l'infirmité congénitale, mais qui, à la lumière des connaissances médicales, en sont une conséquence fréquente. Il doit exister entre l'infirmité congénitale et l'affection secondaire un lien très étroit de causalité adéquate (ou rapport de causalité adéquate qualifié: ATF 129 V 209 consid. 3.3; 100 V 41 consid. 1a; arrêt TF I 438/02 du 14 octobre 2004 in SVR 2005 IV n. 22 p. 86; arrêt TF I 43/98 du 19 mai 2000 in VSI 2001 p. 75 ss consid. 3a). Il n'est pas nécessaire que l'affection secondaire soit directement liée à l'infirmité; des conséquences même indirectes de l'infirmité congénitale peuvent également satisfaire à l'exigence d'un lien qualifié de causalité adéquate (Pra 1991 n. 214 p. 903 consid. 3b et les références citées). D'une manière générale, les mesures prophylactiques n'incombent pas à l'assurance-invalidité (MEYER-BLASER, Rechtsprechung des Bundesgerichts zum IVG, Zurich, 2010, art. 8 p. 96).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5 de 7 3.3.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Est en l'occurrence litigieuse la prise en charge du traitement dentaire et orthodontique de l'hyperodontie alléguée par le recourant, ce qui implique une appréciation médicale de sa situation. 4.1. La Cour constate d'emblée que le mémoire de recours a été rédigé par le dentiste traitant du recourant, le Dr E.________, spécialiste en chirurgie orale et maxillo-faciale. Le médecin y soutient ce qui suit: "De toute évidence un grave malentendu est à la source de votre refus de prise en charge, toutes les décisions et les arguments de votre lettre ainsi que des précédentes se basent sur l’[orthopantomogramme]. Malheureusement sur cet examen vous ne voyez pas les nombreuses dents surnuméraires qui obstruent l'éruption de la dent 11. La dent 11 incluse est bel et bien la cause de la rétention 12-13 mais la cause primaire est l'hyperodontie avec de nombreuses petites dents malformées se trouvant palatinal de la dent 11". Ce même médecin indiquait initialement que son patient présentait des dents surnuméraires bloquant l'éruption des incisives supérieures. Ceci entrait, selon lui, "clairement dans le cadre d’une prise en charge OlC no 207" (rapport du 26 mai 2021, dossier OAI, p. 69; cf. ég. p. 44). Pour sa part, l'OAI fonde son refus de prester sur les rapports des médecins du SMR, le Dr F.________, spécialiste en médecine interne générale, et le Dr G.________, spécialiste en anesthésiologie. Dans son rapport du 26 avril 2021, le premier indique ce qui suit: "Au vu de</w:t>
      </w:r>
    </w:p>
    <w:p>
      <w:r>
        <w:t>Tribunal cantonal TC Page 6 de 7 l’orthopantomogramme mis à disposition, la dent 11 incluse en position de biais est à l’origine d’un déplacement axial des futures dents 12 et 13 qui sont susceptibles, au vu du manque de place, d’émerger en région palatine. Le traitement préconisé par le [dentiste traitant] se justifie entièrement, mais, au sens de l’OIC, aucune hyperodontie est présente au vu des documents à disposition" (dossier OAI, p. 56). Pour sa part, le second affirme que, "selon les images disponibles sur le CD- ROM, il n’y a pas d’hyperodontie". Il confirme les conclusions de son prédécesseur (dossier OAI, p. 75). 4.2. Force est de souligner que les rapports médicaux des deux médecins du SMR ne sont pas motivés, les deux médecins nient l'existence même d'une hyperdontie sans expliquer pourquoi, se contentant de renvoyer vaguement aux documents à leur disposition, respectivement au CD-ROM d'imagerie. Or, pour sa part, le Dr E.________ explique sommairement les motifs le conduisant à retenir la présence d'une hyperodontie, à savoir la présence de plusieurs dents surnuméraires. Il accompagne cette argumentation d'un "Cone Beam CT" de la région en cause en version imprimée. A la consulter, l'on constate que l'incisive centrale droite (dent 11) bloque effectivement deux autres dents. En outre, il convient de rappeler qu'un rapport d'un médecin SMR qui, comme en l'espèce, ne se fonde pas sur un examen clinique ne peut avoir pour objet que d’indiquer quelle opinion médicale il convient de suivre ou de proposer des mesures d'instruction complémentaires. En revanche, en l'absence d'observation clinique, il ne saurait suffire pour fonder une appréciation médicale allant dans un sens contraire à l’appréciation d’un médecin traitant. Dans ces circonstances, pour être retenues, les affirmations des deux médecins du SMR devraient se fonder sur d’autres pièces du dossier. Or, tel n'est manifestement pas le cas en l'espèce vu que seul le Dr E.________ est intervenu dans cette affaire. Enfin, la Cour constate que les deux médecins du SMR ne sont pas médecins-dentistes mais généraliste ou anesthésiologiste. Or, la Cour a déjà souligné dans de nombreuses affaires qu'un avis médical sur une problématique d'ordre psychiatrique émis par un médecin non spécialiste en la matière doit être appréhendé avec prudence (cf. not. arrêts TC FR 608 2018 98 du 12 septembre 2018; 608 2017 216 du 7 mars 2018; 608 2017 88 du 11 septembre 2017; 608 2016 261 du 31 juillet 2017; 608 2016 120 du 9 juin 2017; 608 2016 70 du 14 février 2017). Bien que ce principe ait été émis dans le domaine de la psychiatrie, il est manifeste que cette prudence se justifie également dans le domaine de la médecine dentaire, dès lors qu'il s'agit d'une formation et d'un domaine distinct de la médecine humaine. Face à une argumentation détaillée et émise par un spécialiste en la matière, les conclusions des deux médecins du SMR ne font pas le poids. Par ses différents rapports, le dentiste traitant a du moins rendu vraisemblable que son patient souffre d'une hyperodontie congénitale nécessitant un traitement au moyen d’appareils au sens du ch. 207 annexe OIC. 4.3. On ne saurait donc refuser les prestations sur la base des pièces au dossier. Il incombe à l’OAI de rendre une nouvelle décision sur le droit aux prestations, cas échéant en ayant préalablement procédé aux compléments d'instruction qu'il estimera nécessaires. 5. Il ressort de l'ensemble de ce qui précède que le recours, bien fondé, doit être admis, la décision annulée et le dossier renvoyé à l'OAI pour nouvelle décision.</w:t>
      </w:r>
    </w:p>
    <w:p>
      <w:r>
        <w:t>Tribunal cantonal TC Page 7 de 7 La procédure n'étant pas gratuite, les frais de justice sont fixés à CHF 400.-. Compte tenu de l'admission du recours, ils sont mis à la charge de l'OAI qui succombe. L'avance de frais de CHF 400.- est restituée au recourant. Il n'est pas octroyé d'indemnité de partie, le recourant n'étant pas représenté par un mandataire professionnel. la Cour arrête : I. Le recours est admis. Partant, la décision du 27 octobre 2021 est annulée et le dossier renvoyé à l'OAI pour nouvelle décision au sens des considérants. II. Les frais de justice, fixés à CHF 400.-, sont mis à la charge de l'OAI qui succombe. III. L'avance de frais de CHF 400.- est restituée au recourant.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avril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