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182 vom 9. Juni 2022</w:t>
      </w:r>
    </w:p>
    <w:p>
      <w:r>
        <w:t>FR Kantonsgericht, 2022-06-09, FR</w:t>
      </w:r>
    </w:p>
    <w:p>
      <w:r>
        <w:rPr>
          <w:b/>
        </w:rPr>
        <w:t xml:space="preserve">Quelle: </w:t>
      </w:r>
      <w:r>
        <w:t>https://mcp.opencaselaw.ch/entscheid/fr_gerichte_608_2021_182</w:t>
      </w:r>
    </w:p>
    <w:p>
      <w:r>
        <w:t>FR: FR_GERICHTE 608 2021 182 du 9 juin 2022</w:t>
      </w:r>
    </w:p>
    <w:p>
      <w:r>
        <w:t>IT: FR_GERICHTE 608 2021 182 del 9 giugno 2022</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une assurée directement touchée par la décision attaquée, le recours est recevable.</w:t>
      </w:r>
    </w:p>
    <w:p>
      <w:r>
        <w:rPr>
          <w:b/>
        </w:rPr>
        <w:t>E. 1.2</w:t>
      </w:r>
    </w:p>
    <w:p>
      <w:r>
        <w:t>Dans le cadre du "développement continu de l'AI", notamment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(RO 2021 705; FF 2017 2535). Compte tenu du principe de droit intertemporel selon lequel les dispositions légales applicables sont celles qui étaient en vigueur à l'époque à laquelle les faits juridiquement déterminants se sont produits (cf. notamment ATF 129 V 354 consid. 1), le droit applicable en l'espèce demeure celui qui était en vigueur jusqu'au 31 décembre 2021 dès lors que la décision administrative litigieuse a été rendue avant cette date.</w:t>
      </w:r>
    </w:p>
    <w:p>
      <w:r>
        <w:rPr>
          <w:b/>
        </w:rPr>
        <w:t>E. 2</w:t>
      </w:r>
    </w:p>
    <w:p>
      <w:r>
        <w:t>La recourante conclut à l'annulation de la décision attaquée. Elle conteste les conclusions de l'expertise du 27 novembre 2020, et demande, si nécessaire, la mise en œuvre d'une nouvelle expertise.</w:t>
      </w:r>
    </w:p>
    <w:p>
      <w:r>
        <w:rPr>
          <w:b/>
        </w:rPr>
        <w:t>E. 2.1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w:t>
      </w:r>
    </w:p>
    <w:p>
      <w:r>
        <w:t>Tribunal cantonal TC Page 4 de 12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rPr>
          <w:b/>
        </w:rPr>
        <w:t>E. 2.3</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w:t>
      </w:r>
    </w:p>
    <w:p>
      <w:r>
        <w:t>Tribunal cantonal TC Page 5 de 12 durée hebdomadaire de travail durant l'année considérée (arrêt TF 9C_666/2009 du 26 février 2010 consid. 3.2).</w:t>
      </w:r>
    </w:p>
    <w:p>
      <w:r>
        <w:rPr>
          <w:b/>
        </w:rPr>
        <w:t>E. 2.5</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12</w:t>
      </w:r>
    </w:p>
    <w:p>
      <w:r>
        <w:rPr>
          <w:b/>
        </w:rPr>
        <w:t>E. 2.6</w:t>
      </w:r>
    </w:p>
    <w:p>
      <w:r>
        <w:t>Selon l'art. 87 RAI, lorsque la rente a été refusée parce que le degré d'invalidité était insuffisant, la nouvelle demande ne peut être examinée que si les conditions prévues à l'al. 2 sont remplies; d'après cet alinéa, lorsqu'une demande de révision (au sens de l'art. 17 LPGA)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w:t>
      </w:r>
    </w:p>
    <w:p>
      <w:r>
        <w:rPr>
          <w:b/>
        </w:rPr>
        <w:t>E. 3</w:t>
      </w:r>
    </w:p>
    <w:p>
      <w:r>
        <w:t>Est en l'espèce litigieuse la question de savoir si l'état de santé de la recourante s'est péjoré depuis la dernière décision de manière à influencer ses droits.</w:t>
      </w:r>
    </w:p>
    <w:p>
      <w:r>
        <w:rPr>
          <w:b/>
        </w:rPr>
        <w:t>E. 3.1</w:t>
      </w:r>
    </w:p>
    <w:p>
      <w:r>
        <w:t>La dernière décision entrée en force reposant sur un examen matériel du droit à la rente est la décision de refus du 28 mars 2017, qui a été confirmée par le TAS ZH le 17 août 2018, puis par le Tribunal fédéral le 20 février 2019. Dans sa décision (dossier OAI p. 1076), qui reprend et confirme celle de l'OAI-ZH du 28 mars 2017, le TAS ZH a retenu que les experts ayant réalisé l'expertise pluridisciplinaire du 17 août 2016 avaient fait une appréciation différente d'une situation rhumatologique inchangée. En effet, il a considéré que les constatations de l'expert rhumatologue ne justifiaient aucune modification pertinente de l'état de santé rhumatologique de l'assurée depuis la précédente expertise de mai 2008. La maladie de Madelung était toujours bénigne et sans arthrose secondaire, avec une variante ulnaire faiblement positive, et l'insuffisance pondérale était déjà présente en 2008. De ce fait, une réduction de la</w:t>
      </w:r>
    </w:p>
    <w:p>
      <w:r>
        <w:t>Tribunal cantonal TC Page 7 de 12 capacité de travail dans une activité adaptée de 100% à 30%, due uniquement à la combinaison de l'hyperlaxité et de l'insuffisance pondérale, était incompréhensible. D'un point de vue de la médecine interne, il a considéré que l'incapacité totale de travail due à la mastectomie prophylactique des deux seins et la reconstruction mammaire subséquente avec complication n'était que temporaire, ces deux atteintes ne pouvant pas justifier une atteinte à la santé permanente. Sur le plan psychiatrique ensuite, toute restriction résultant de l'épisode dépressif modéré diagnostiqué en juillet 2012 dans le cadre d'un trouble dépressif récurrent pouvait également être qualifiée de temporaire. En effet, en août 2012 déjà, la Dre C.________ ne s'était plus concentrée sur la dépression et avait relevé que l'assurée avait maîtrisé celle-ci avec beaucoup de courage et d'humour noir. De plus, l'expertise de 2016 attestait que la recourante ne prenait pas d'antidépresseur. Le diagnostic d'état de stress post-traumatique n'était pas non plus considéré comme plausible, la recourante ne répondant pas aux exigences en terme d'évolution dans le temps. Des critères cliniques essentiels, tels qu'un sentiment persistant d'engourdissement et un engourdissement émotionnel, manquaient également. Ainsi, l'incapacité de travail de 20% constatée par les experts en 2016 pour cause d'état de stress post-traumatique ne se justifiait pas. En résumé, l'état de santé de la recourante n'avait pas changé ou ne s'était pas détérioré tant sur le plan somatique que sur le plan psychique depuis la décision du 26 juin 2008. La recourante pouvait donc raisonnablement exercer une activité adaptée à 100%. Enfin, le degré d'invalidité établi dans la décision du 26 juin 2008 demeurait le même, soit 100% dans une activité adaptée. Le TAS ZH a donc rejeté le recours. Le Tribunal fédéral a confirmé cette décision le 20 février 2019. Il a relevé que le tribunal cantonal avait motivé sa décision de manière fiable et que son appréciation des preuves ne pouvait pas être qualifiée d'arbitraire ou d'insoutenable.</w:t>
      </w:r>
    </w:p>
    <w:p>
      <w:r>
        <w:rPr>
          <w:b/>
        </w:rPr>
        <w:t>E. 3.2</w:t>
      </w:r>
    </w:p>
    <w:p>
      <w:r>
        <w:t>Après la décision du 28 mars 2017, la situation a évolué de la façon suivante :</w:t>
      </w:r>
    </w:p>
    <w:p>
      <w:r>
        <w:rPr>
          <w:b/>
        </w:rPr>
        <w:t>E. 3.2.1</w:t>
      </w:r>
    </w:p>
    <w:p>
      <w:r>
        <w:t>La Dre D.________, spécialiste en rhumatologie et médecine interne générale, diagnostique un syndrome d’hyperlaxité articulaire généralisé (syndrome d'Ehlers-Danlos) avec mauvais état général et épuisement physique (R53-R54), une ostéopénie, un status après spondylodèse C6-C7 en 2013 pour hernie discale, un déficit pondéral sévère et des troubles dépressifs récurrents modérés à sévères. Elle retient encore comme diagnostic sans influence sur la capacité de travail un syndrome de fuite de potassium d’origine rénale. La recourante porte de multiples orthèses pour stabiliser ses articulations et doit notamment faire de la physiothérapie une fois par semaine à titre antalgique et pour maintenir une certaine force musculaire. Elle présente également un déficit pondéral majeur avec un IMC à 16 ou 16,5. La rhumatologue atteste également d'une aggravation de l'état de santé qui ne permet actuellement pas d’exercer une activité professionnelle, que ce soit dans l'activité habituelle ou dans une activité adaptée. Elle précise le 6 décembre 2019 que le score de Beighton, dans le cadre du syndrome d'Ehlers-Danlos, est de 7 sur 9 et que l'assurée doit être aidée même dans son ménage. Le 1er avril 2021, elle ajoute que la résistance au stress est diminuée (rapports du 9 mai 2019, dossier OAI p. 1128; 10 octobre 2010, dossier OAI p. 1161; 6 décembre 2019, dossier OAI p. 1185). La Dre E.________, spécialiste en cardiologie et médecine interne générale, indique le 3 octobre 2019 que l'assurée est connue pour un syndrome d’EhIers-Danlos avec douleurs généralisés et une</w:t>
      </w:r>
    </w:p>
    <w:p>
      <w:r>
        <w:t>Tribunal cantonal TC Page 8 de 12 baisse progressive de l’état général. Ces dernières années, les douleurs ostéo-articulaires se sont péjorées de façon importante et la recourante présente de plus en plus un état d’épuisement physique ainsi que psychique avec des troubles dépressifs réactifs liés au fait d’avoir toujours mal. Son poids est également à la baisse et elle présente une péjoration de la dyspepsie. La docteure estime qu'il n'existe aucune capacité de travail (dossier OAI p. 1162). La Dre F.________, spécialiste en néphrologie et médecine interne générale, a également pris position le 21 octobre 2019 (dossier OAI p. 1167). L'assurée souffre d'une tubulopathie Gitelman- like occasionnant des crampes musculaires sur une fuite urinaire de magnésium venant aggraver le tableau ostéoarticulaire d’Ehlers-Danlos.</w:t>
      </w:r>
    </w:p>
    <w:p>
      <w:r>
        <w:rPr>
          <w:b/>
        </w:rPr>
        <w:t>E. 3.2.2</w:t>
      </w:r>
    </w:p>
    <w:p>
      <w:r>
        <w:t>Suite à la pose du diagnostic de tubulopathie Gitelman-like, une expertise pluridisciplinaire en rhumatologie, médecine interne et psychiatrie a été mise en œuvre auprès de G.________ SA (dossier OAI p. 1225). Elle a été réalisée le 27 novembre 2020 par le Dr H.________, spécialiste en médecine interne, le Dr I.________, spécialiste en rhumatologie, et le Dr J.________, spécialiste en psychiatrie et psychothérapie. L'expert-psychiatre ne pose aucun diagnostic avec ou sans influence sur la capacité de travail. Sur le plan rhumatologique, les diagnostics, avec influence sur la capacité de travail, sont ceux de déformation des mains et des pouces dans le cadre d'une maladie de Madelung, un syndrome d'hypermobilité articulaire, un status post chirurgie du cubitus gauche en 2006 et un status post chirurgie cervicale C6-C7 en 2013 (R252). Du point de vue de la médecine interne, celui de crampes musculaires sur tubulopathie rénale (N259) est posé. Sont par contre sans influence les diagnostics de pied plat stade I bilatéral, d'ostéopénie, de troubles de Ia concentration avec une atteinte cognitive légère, d'insomnies d‘endormissement et de maintien du sommeil sans substrat relevant de la médecine interne, de syndrome d‘EhIers-Danlos avec fragilité capillaire, de myopie et presbytie corrigées, de maigreur avec un IMC de 18,44 kg/m2, d'allergie médicamenteuse au Ponstan (urticaire diffus), d'insuffisance chronique veineuse stade C1 CEAP avec un status post stripping de varices des deux côtés en 1984, 1997, 2000 et 2005, d'insuffisance rénale de stade 3a, de ferritinémie sub-optimale, de status après hystérectomie en 2004 sur hyperménorrhées anémiantes ligature des trompes en 1996, de status après mastectomie bilatérale dans un contexte préventif pour risque oncologique familial et carcinome in situ à gauche et fibroadénome droit (en avril 2013) après reconstruction mammaire par implants siliconés (en juillet 2013) et retrait des implants pour réaction inflammatoire/infectieuse (en mai 2014) et mammoplastie secondaire (en juillet 2014) compliquée d'hématome axillaire gauche résolutif, de status après ovariectomie bilatérale le 2 mars 2018 et de status après deux cures d‘hémorroïdes entre 1999 et 2006. Pour les experts, il n'existe ensuite aucune limitation fonctionnelle du point de vue psychiatrique. L'expert-rhumatologue retient quant à lui la nécessité d'alterner les positions et de porter des charges jusqu'à 5kg maximum, ainsi que d'éviter toute activité à genou, qui demande une sécurité augmentée comme les échafaudages et les échelles, qui force sur le rachis cervical et lombaire ainsi que toute activité qui force sur les mains avec un travail répétitif et de dextérité fine. Le Dr H.________ proscrit pour sa part la conduite et la manipulation de véhicules ou engins dangereux, tout travail en hauteur, en terrain irrégulier, dans les escaliers ou les échafaudages, avec port de charges lourdes au-dessus de 6kg de manière occasionnelle et au-dessus de 4kg de manière répétitive.</w:t>
      </w:r>
    </w:p>
    <w:p>
      <w:r>
        <w:t>Tribunal cantonal TC Page 9 de 12 S'agissant de la capacité de travail dans l'activité habituelle de boulangère-pâtissière, elle est nulle depuis la dernière décision du 28 mars 2017 en raison des troubles rhumatologiques et depuis octobre 2019 également en raison des crampes liées à la tubulopathie. Avant octobre 2019, elle était de 0% de manière transitoire lors des périodes d'hospitalisation et de convalescence sur le plan de la médecine interne (opération de la hernie discale le 28 octobre 2013, mastectomie et ses suites en avril et juillet 2013, mai et juillet 2014). Il n'y a aucune incapacité du point de vue psychiatrique dans cette profession. Le consensus atteste dès lors d'une incapacité totale de travail dans l'activité habituelle depuis le 28 mars 2017. La capacité de travail est par contre entière dans une activité adaptée tenant compte des limitations fonctionnelles dans les trois domaines, sauf de manière transitoire lors des périodes d'hospitalisation et de convalescence précitées pendant lesquelles Ia capacité de travail était de 0%. L'expert-psychiatre relève en outre que la recourante a arrêté tout traitement psychiatrique depuis plusieurs années et a cessé tout suivi psychologique ou psychiatrique depuis 2015. Son collègue rhumatologue mentionne que l'examen au jour de l'expertise ne met en évidence aucune douleur articulaire à la mobilisation des différentes articulations périphériques. Enfin, du point de vue strictement de la médecine interne, la personne assurée se plaint actuellement et spontanément de troubles de la concentration en corrélation avec une asthénie sur sommeil peu récupérateur avec des insomnies, sans substrat relevant de la médecine interne, et de crampes en lien avec une tubulopathie rénale. Il n'existe pas de divergences entre les symptômes décrits et le comportement de l'assurée, sauf lorsque celle-ci dit avoir une certaine fragilité articulaire avec des douleurs alors que l'examen rhumatologique ne met en évidence aucune douleur articulaire à la mobilisation. Du point de vue interdisciplinaire, il n‘y a pas d’élément d'autolimitation, d’exagération ou de simulation.</w:t>
      </w:r>
    </w:p>
    <w:p>
      <w:r>
        <w:rPr>
          <w:b/>
        </w:rPr>
        <w:t>E. 3.3</w:t>
      </w:r>
    </w:p>
    <w:p>
      <w:r>
        <w:t>Le 1er avril 2021, la Dre D.________ s'est déterminée sur cette expertise (dossier OAI p. 1342). Elle estime qu'elle contient des contradictions entre l'incapacité totale de travailler dans sa profession habituelle et la capacité de 100% retenue dans une activité adaptée, ainsi qu'au sujet de la non-aggravation de l'état de santé alors qu'elle atteste du contraire. Elle conteste ensuite l'absence de douleur articulaire alors que la recourante porte de multiples orthèses pour stabiliser ses articulations et qu'elle doit faire très régulièrement de la physiothérapie à titre antalgique ainsi que pour maintenir une certaine force musculaire. Enfin, elle relève un IMC de 16, retient une incapacité totale de travail et est d'avis que les contradictions entre les expertises de 2017 et celle de 2020 reflètent le caractère subjectif de ces évaluations. Dans un complément du 27 juillet 2021, l'expert-rhumatologue a pris position sur ce rapport de la Dre D.________. Il indique que son examen n'a retrouvé aucune douleur, ni signe inflammatoire Iocal à la mobilisation des différentes articulations périphériques, qu'il n'y a pas d'épuisement physique et que I’IMC est de 18. Le syndrome d‘Ehlers-Danlos, type hypermobile, est pris en compte avec un score de Beighton de 9/9 et est considéré comme incapacitant dans l'activité habituelle. Il ajoute que le port d’orthèses ou l’exécution de physiothérapie n’est pas synonyme d'une affection invalidante ou incapacitante, et que la résistance au stress n’est pas une affection rhumatologique.</w:t>
      </w:r>
    </w:p>
    <w:p>
      <w:r>
        <w:rPr>
          <w:b/>
        </w:rPr>
        <w:t>E. 3.4</w:t>
      </w:r>
    </w:p>
    <w:p>
      <w:r>
        <w:t>La recourante remet en cause la valeur probante de l'expertise pluridisciplinaire en médecine interne, rhumatologie et psychiatrie du 27 novembre 2020 et soutient que la décision est en réalité basée sur une expertise de 2008 et non sur les expertises et avis médicaux plus récents. Elle estime également qu'une capacité de travail de 30%, comme attestée par l'expertise du 17 août 2016, doit lui être reconnue.</w:t>
      </w:r>
    </w:p>
    <w:p>
      <w:r>
        <w:t>Tribunal cantonal TC Page 10 de 12 A titre liminaire, soulignons que l'expertise de 2020 a été correctement établie et est conforme aux réquisits jurisprudentiels. Les experts se sont en effet basés sur le dossier médical complet de la recourante et l'ont examinée personnellement avant d'établir leur rapport. L'assurée a pu s'exprimer à chaque moment. Les conclusions sont par ailleurs claires et bien motivées. Le rapport a été établi en pleine connaissance de l'anamnèse, tient compte des plaintes exprimées par l'assurée et est le résultat d'examens complets. Force est ensuite de constater que l'assurée se méprend lorsqu'elle allègue que la décision litigieuse se base sur l'expertise réalisée en 2008. En effet, il sied d'abord de relever que les différentes autorités ont pris en considération l'ensemble des rapports médicaux, y compris l'expertise de 2016, figurant au dossier avant de rendre leurs décisions respectives. Leur appréciation se base par conséquent sur la situation médicale jusqu'en 2017, et non sur celle existant en 2008. Ensuite, l'arrêt du 20 février 2019 du Tribunal fédéral, qui confirme le jugement du 17 août 2018 du TAS ZH, indique clairement que la situation médicale ne s'est pas modifiée entre les décisions de l'OAI-ZH du 26 juin 2008 et du 28 mars 2017 et que les experts avaient apprécié différemment une même situation de fait. Il a aussi expliqué que, de ce fait, il n'y avait aucune raison de prendre en compte une capacité de travail exigible autre que celle retenue en 2008, soit 100% dans une activité adaptée. De même, l'OAI, dans la décision ici querellée, se fonde sur l'ensemble des rapports médicaux en ses mains, dont l'expertise de 2020. Cela étant, rien ne l'empêchait de constater, comme l'ont fait avant lui l'OAI-ZH, le TAS ZH et le Tribunal fédéral, que la situation actuelle est une nouvelle fois similaire à celle prévalant en 2008. De même, le fait que l'OAI retienne une capacité de travail dans une activité adaptée à 80%, telle qu'elle ressort de la décision du 28 mars 2017, et s'écarte de celle de 100% retenue dans l'expertise de 2020, ne permet pas pour autant de rejeter les conclusions de cette dernière. En effet, les diagnostics avec influence sur la capacité de travail retenus par l'expertise de 2020 – maladie de Madelung, syndrome d'hypermobilité articulaire, status post chirurgie du cubitus gauche en 2006 et status post chirurgie cervicale en 2013 – étaient déjà présents lorsque la précédente décision a été rendue (cf. notamment expertise bi-disciplinaire du 27 mai 2008, dossier OAI p. 236; rapport du 3 mars 2014 du Dr K.________, spécialiste en chirurgie orthopédique et traumatologie de l'appareil locomoteur et chirurgie de la main, dossier OAI p. 553; expertise pluridisciplinaire du 17 août 2016, dossier OAI p. 854) et leur éventuelle influence sur la capacité de travail ne s'est pas modifiée: celle-ci a toujours été entière dès 2008 tant du point de vue psychique que physique (expertises du 27 mai 2008 et du 17 mai 2016 précitées, jugement du 17 août 2018 du TAS ZH et arrêt du 20 février 2019 du Tribunal fédéral). Quant à l'hyperlaxité et l'insuffisance pondérale dont est atteinte l'assurée, elles demeurent sans effet invalidant d'après les experts. Le fait de porter des attèles et de suivre de la physiothérapie ne sauraient manifestement suffire à cet égard, malgré les dires de sa médecin traitante, à tout le moins dans une activité adaptée respectant certaines limitations fonctionnelles. L'atteinte psychiatrique ne s'est pas péjorée non plus, l'assurée ayant cessé tout traitement psychiatrique depuis 2012, et l'état de stress post-traumatique diagnostiqué à l'origine n'ayant déjà pas été retenu par les précédents experts. Les limitations fonctionnelles sont en outre restées les mêmes (nécessité d'alterner les positions, éviter les mouvements en force ou répétitifs, ne pas porter des charges de plus de 5kg, ne pas travailler à genou ou sur des échelles). En revanche, le diagnostic de crampes musculaires sur tubulopathie rénale est récent. Il n’a toutefois pas d’impact sur la capacité de travail dans la mesure où l'on respecte le profil d'effort et les limitations fonctionnelles indiquées par les experts pour ce trouble, à savoir pas de conduite et manipulation de véhicules ou engins dangereux, ni de travail en hauteur, en terrain irrégulier, dans</w:t>
      </w:r>
    </w:p>
    <w:p>
      <w:r>
        <w:t>Tribunal cantonal TC Page 11 de 12 les escaliers ou les échafaudages, pas de port de charges lourdes au-dessus de 6kg de manière occasionnelle et au-dessus de 4kg de manière répétitive. Il y a encore lieu de relever que la capacité de travail de 80% considérée par l'OAI est effectivement similaire à celle de la décision du 28 mars 2017 de l'OAI-ZH alors que tant le TAS ZH que le Tribunal fédéral ont ensuite retenu une pleine capacité de travail tant sur le plan physique que psychique, comme également les experts mandatés en 2020 dans le cadre de la décision litigieuse. Cela étant, ce taux, au demeurant plus favorable à l'assurée, ne change en rien la solution du litige, dès lors que le degré d'invalidité reste inférieur à 40%. De plus, contrairement à ce que soutient la recourante, tant le Dr H.________ que le Dr I.________ dressent la liste des médicaments qu'elle prend en page 20 de l'expertise (dossier OAI p. 1244), respectivement en page 54 (dossier OAI p. 1278). Quant aux limitations fonctionnelles liées au syndrome d'Ehlers-Danlos, la Dre D.________, si elle indique qu'il en existe, ne les détaille dans aucun de ses rapports médicaux, alors que l'expert en médecine interne les mentionne expressément. C'est le lieu de préciser que les limitations fonctionnelles sont déterminées en fonction de la globalité des diagnostics, et non de chaque diagnostic en particulier. Le Dr H.________ a également expliqué pourquoi il s'écarte du rapport du 21 octobre 2019 de la Dre F.________, qui ne décrit ni les déficits objectivés, ni les limitations fonctionnelles et prend en considération des motifs autres que ceux en lien avec la médecine interne pour juger de l’impossibilité de la reprise d’une activité professionnelle. De plus, tant la Dre D.________ que la Dre E.________ se fondent également sur des diagnostics psychiques pour se déterminer sur la capacité de travail, alors que la psychiatrie ne relève pas de leur spécialité respective. Leurs rapports ne sont ainsi pas probants. Quant à la Dre F.________, elle ne se prononce pas sur la capacité de travail de sa patiente. Aucun médecin ne réussit ainsi à remettre valablement en cause l'expertise. L'expertise est dès lors en tous point concluante et peut être suivie, de sorte que le Tribunal de céans fait sien ses conclusions et retient que l'assurée peut travailler à 100 % dans une activité lucrative respectant les limitations fonctionnelles rappelées ci-dessus. Il n'est ainsi pas nécessaire de mettre sur pied une autre mesure d'instruction. L'assurée est encore d'avis que la définition du profil des activités qu'elle pourrait exercer est incompréhensible et ne permet pas d'en déduire un salaire. En l'espèce, on ne voit pas en quoi la définition de ce profil serait incompréhensible. Le profil adéquat est en réalité déterminé par les limitations fonctionnelles indiquées par les experts et reprises par l'autorité intimée, lesquelles doivent être respectées. L'OAI n'a en outre pas l'obligation de donner une liste des activités possibles, dont on doit par ailleurs admettre qu'il en existe un très large panel adapté à ses limitations, somme toutes très conventionnelles. Quant au revenu d'invalide, l'autorité intimée s'est correctement référée aux salaires statistiques (tableau TA1, salaires totaux, niv. 1 femmes), l'assurée n'ayant pas exercé d'activité lucrative depuis plusieurs années. Enfin, la recourante ne conteste pas le calcul du revenu de valide ni le degré d'invalidité qui est résulté de la comparaison des deux revenus, éléments qui ont au demeurant été correctement établis. Partant, c'est à juste titre que l'OAI a estimé que la recourante ne pouvait toujours pas prétendre à une quelconque rente.</w:t>
      </w:r>
    </w:p>
    <w:p>
      <w:r>
        <w:t>Tribunal cantonal TC Page 12 de 12</w:t>
      </w:r>
    </w:p>
    <w:p>
      <w:r>
        <w:rPr>
          <w:b/>
        </w:rPr>
        <w:t>E. 4</w:t>
      </w:r>
    </w:p>
    <w:p>
      <w:r>
        <w:t>Au vu de ce qui précède, le recours est rejeté et la décision du 24 septembre 2021 confirmée. La procédure n'étant pas gratuite, les frais de procédure par CHF 800.- sont mis à la charge de la recourante qui succombe. Ils sont compensés par l'avance de frais du même montant versée le 1er novembre 2021. la Cour arrête : I. Le recours est rejeté. II. Les frais de procédure, par CHF 800.-, sont mis à la charge de A.________. Ils sont compensés par l'avance de frais versée le 1er novembre 2021.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juin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