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153 vom 13. April 2022</w:t>
      </w:r>
    </w:p>
    <w:p>
      <w:r>
        <w:t>FR Kantonsgericht, 2022-04-13, FR</w:t>
      </w:r>
    </w:p>
    <w:p>
      <w:r>
        <w:rPr>
          <w:b/>
        </w:rPr>
        <w:t xml:space="preserve">Quelle: </w:t>
      </w:r>
      <w:r>
        <w:t>https://mcp.opencaselaw.ch/entscheid/fr_gerichte_608_2021_153</w:t>
      </w:r>
    </w:p>
    <w:p>
      <w:r>
        <w:t>FR: FR_GERICHTE 608 2021 153 du 13 avril 2022</w:t>
      </w:r>
    </w:p>
    <w:p>
      <w:r>
        <w:t>IT: FR_GERICHTE 608 2021 153 del 13 aprile 2022</w:t>
      </w:r>
    </w:p>
    <w:p>
      <w:pPr>
        <w:pStyle w:val="Heading2"/>
      </w:pPr>
      <w:r>
        <w:t>Regeste</w:t>
      </w:r>
    </w:p>
    <w:p>
      <w:r>
        <w:t>Arrêt de la IIe Cour des assurances sociales du Tribunal cantonal | Invalidenversicherung</w:t>
      </w:r>
    </w:p>
    <w:p>
      <w:pPr>
        <w:pStyle w:val="Heading2"/>
      </w:pPr>
      <w:r>
        <w:t>Erwägungen</w:t>
      </w:r>
    </w:p>
    <w:p>
      <w:r>
        <w:rPr>
          <w:b/>
        </w:rPr>
        <w:t>E. 1</w:t>
      </w:r>
    </w:p>
    <w:p>
      <w:r>
        <w:t>Les deux recours ont été interjetés en temps utile et dans les formes légales. Ils ont été transmis à la Cour de céans, autorité judiciaire compétente à raison du lieu ainsi que de la matière (cf. art. 39 al. 2 et art. 60 al. 2 de la loi du 6 octobre 2000 sur la partie générale du droit des assurances sociales, LPGA; RS 830.1). Le recourant, dûment représenté, est en outre directement atteint par les décisions querellées et a dès lors un intérêt digne de protection à ce qu'elles soient, cas échéant, annulées ou modifiées. Partant, le recours est recevable. Concernant le même objet, les causes 605 2021 153 et 605 2021 154 sont jointes (cf. art. 42 du code fribourgeois du 23 mai 1991 de procédure et de juridiction administrative, CPJA; RSF 150.1).</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des décisions querellées.</w:t>
      </w:r>
    </w:p>
    <w:p>
      <w:r>
        <w:rPr>
          <w:b/>
        </w:rPr>
        <w:t>E. 3.1</w:t>
      </w:r>
    </w:p>
    <w:p>
      <w:r>
        <w:t>A teneur de l’art. 8 al. 1 LPGA, applicable par le biais de l’art. 1 al. 1 de la loi du 19 juin 1959 sur l'assurance-invalidité (LAI; RS 831.20), est réputée invalidité l'incapacité de gain totale ou partielle qui est présumée permanente ou de longue durée.</w:t>
      </w:r>
    </w:p>
    <w:p>
      <w:r>
        <w:t>Tribunal cantonal TC Page 4 de 14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w:t>
      </w:r>
    </w:p>
    <w:p>
      <w:r>
        <w:rPr>
          <w:b/>
        </w:rPr>
        <w:t>E. 3.2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5 de 14</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w:t>
      </w:r>
    </w:p>
    <w:p>
      <w:r>
        <w:t>Tribunal cantonal TC Page 6 de 14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Est d'abord litigieuse l'évaluation des limitations fonctionnelles du recourant telle que retenue par l'OAI dans ses décisions du 18 juin et du 2 juillet 2021, ce qui implique d'examiner les documents médicaux au dossier.</w:t>
      </w:r>
    </w:p>
    <w:p>
      <w:r>
        <w:rPr>
          <w:b/>
        </w:rPr>
        <w:t>E. 5.1</w:t>
      </w:r>
    </w:p>
    <w:p>
      <w:r>
        <w:t>Dans sa décision, l'OAI se réfère aux conclusions des experts de E.________ SA, à savoir le Dr G.________, spécialiste en psychiatrie et psychothérapie, le Dr H.________, médecin praticien, le Dr I.________, spécialiste en neurologie, et J.________, neuropsychologue. Les experts se sont d'abord fondés sur l'étude du dossier assécurologique, dont les pièces principales sont synthétisées en annexe de l'expertise ainsi que dans le volet neuropsychologique, Par ce biais, ils ont été en mesure de bien appréhender la situation du recourant, non seulement sur le plan médical mais également professionnel, économique, social et familial. Ils ont complété ces éléments par des examens paracliniques. A plusieurs reprises, ils se sont entretenus avec l'assuré. A ces occasions, ce dernier a pu exprimer les difficultés en lien avec son état, en particulier un certain repli sur lui-même, une perte d'intérêt pour ce qui le passionnait auparavant, des difficultés à s'organiser ainsi que des problèmes pour être attentif et concentré. Il a également évoqué des séquelles sur le plan du sommeil et du moral. Les plaintes exprimées par l'assuré lors de ces entretiens ont été dûment prises en compte par les experts qui les ont, par ailleurs, retranscrites dans le corps de leur rapport. Les experts ont pu par ailleurs procéder à des examens complets de l'assuré. L'expert-psychiatre constate par exemple l'existence d'un moral triste, d'une flexibilité mentale, d'une planification perturbée ainsi que d'une tendance à digresser et à se perdre dans les détails. Il souligne que l'assuré avait consommé et continue à consommer du cannabis, de la cocaïne et de l'extasy, sans signe de consommation régulière. L'expert en médecine interne générale retient que les pathologies ont été stabilisées et n'impactent pas la capacité de travail, évoquant l'existence d'un surpoids, d'une consommation de substances diverses et irrégulière et d'un asthme d'effort. Quant à l'expert en neurologie, il fait état d'un examen sans particularité, renvoyant cependant aux conclusions de l'experte en neuropsychologie. Enfin, cette dernière souligne que l'assuré présente un tableau neuropsychologique complexe, son examen se basant à la fois sur ses observations ainsi que sur les résultats de questionnaires et de tests psychométriques. A ses yeux, comparativement aux bilans antérieurs, les résultats se sont normalisés sur de nombreux points. Il reste néanmoins des difficultés, notamment émotionnelles, comportementales, attentionnelles, organisationnelles et dans la gestion du stress. En partie, ces problèmes étaient déjà présents avant l‘accident subi, l'assuré présentant un profil intellectuel et cognitif atypique, marqué par un haut potentiel intellectuel (HPI) et un trouble du déficit de l'attention avec hyperactivité (TDAH).</w:t>
      </w:r>
    </w:p>
    <w:p>
      <w:r>
        <w:t>Tribunal cantonal TC Page 7 de 14 Se fondant sur ces différents éléments d'anamnèse et d'examen, les experts présentent des conclusions dûment motivées. Sur le plan diagnostic, examinant l'entier des troubles possibles, notamment du point de vue psychiatrique (dépression grave, trouble affectif bipolaire, troubles anxieux, trouble hyperkinétique), ils en excluent la plupart. Ils ne retiennent, au final, que les diagnostics invalidants d'"épisode dépressif léger", de "perturbation de l’activité et de l'attention" de "troubles mentaux et du comportement liés à l’utilisation de substance psychoactive multiple", de "syndrome post-commotionnel", de "trouble organique de la personnalité" et d'"autres troubles du développement psychologique". S'agissant ensuite de la problématique de la capacité de travail, constatant l'existence d'une interrelation entre les atteintes psychiatriques et neuropsychologiques, les experts relèvent que les atteintes neuropsychologiques sont dominantes dans le tableau clinique et justifient de retenir l'existence d'une limitation de la capacité de travail. Ils indiquent qu'un "temps de présence de 80% est exigible avec baisse du rendement de 50% [...], ce qui correspond à un rendement effectif de 40%" depuis l'accident. Ce taux est essentiellement lié aux troubles cognitifs constatés, d'ordre neuropsychologique, mais également, sans se surajouter, aux atteintes psychiatriques. Sur cette base, ils retiennent les limitations suivantes: "travail ne nécessitant pas de prise de décisions immédiate[s], de traitement d'informations simultanées, de planification, d’adaptation rapide à des situations précises, de gestion du stress et des émotions. Le travail doit éviter d’être monotone, et routinier, et être en adéquation avec les capacités d’innovation et d‘imagination que présente l’examiné. Le rapport à l’autre doit être pris en considération, car l’expertisé a des difficultés de compréhension de la pensée d’autrui". Selon eux, une activité dans le design industriel correspond à ces limitations fonctionnelles. Partant, les conclusions des experts de E.________ SA doivent se voir reconnaître une pleine valeur probante, à tout le moins sur le plan formel.</w:t>
      </w:r>
    </w:p>
    <w:p>
      <w:r>
        <w:rPr>
          <w:b/>
        </w:rPr>
        <w:t>E. 5.2</w:t>
      </w:r>
    </w:p>
    <w:p>
      <w:r>
        <w:t>Reste à examiner si les conclusions des experts sont mises en cause par les autres documents au dossier, en particulier les rapports des médecins et psychologues traitants du recourant.</w:t>
      </w:r>
    </w:p>
    <w:p>
      <w:r>
        <w:rPr>
          <w:b/>
        </w:rPr>
        <w:t>E. 5.2.1</w:t>
      </w:r>
    </w:p>
    <w:p>
      <w:r>
        <w:t>Le Dr K.________, spécialiste en médecine interne générale, retenait les diagnostics de traumatisme cranio-cérébral sévère, de troubles cognitifs (instabilité à la marche, fatigue) et de TDAH. Ces troubles provoquaient des problèmes de concentration, de mémoration et de l'équilibre ainsi que de la confusion et des troubles mnésiques. Il fixe l'incapacité de travail de son patient à 60% (rapport du 15 juin 2018, dossier OAI, p. 24 et 27). Pour sa part, dans ses différents rapports, le Dr L.________, spécialiste en neurologie et en médecine physique et réadaptation, retient le diagnostic invalidant de "traumatisme crânio-cérébral sévère le 02.06.2017". Relevant que le patient ne garde pas de séquelle sur le plan neurologique, il constate que persistent toujours des troubles cognitifs, évoquant notamment un dysfonctionnement exécutif, mnésique, attentionnel et de concentration. Il estime que la capacité de travail est de l'ordre de 50% dans l'activité exercée jusqu'à ce jour (rapports des 9 et 19 novembre 2018 dossier OAI, p. 45 et 62; cf. ég. p. 197). Ces deux médecins procèdent dès lors à une évaluation de la situation de leur patient identique, cas échéant très proche, de celle des experts. En particulier, l'on relève que tous deux admettent que leur patient possède encore une capacité de travail d'au moins 40% dans une activité telle que décrite par les experts, respectivement dans l'activité de designer.</w:t>
      </w:r>
    </w:p>
    <w:p>
      <w:r>
        <w:rPr>
          <w:b/>
        </w:rPr>
        <w:t>E. 5.2.2</w:t>
      </w:r>
    </w:p>
    <w:p>
      <w:r>
        <w:t>Le Dr M.________, spécialiste en psychiatrie et psychothérapie, et N.________, psychothérapeute, suivent le recourant au sein du cabinet O.________.</w:t>
      </w:r>
    </w:p>
    <w:p>
      <w:r>
        <w:t>Tribunal cantonal TC Page 8 de 14 Ils retiennent notamment les diagnostics de "trouble dépressif récurrent, épisode actuel moyen", de "modifications gênantes de la personnalité avec des traits mixtes: immatures, narcissique[s], anankastiques et schizotypiques", de "perturbation de l’activité et de l’attention, de troubles mentaux et du comportement liés à l’utilisation de substances psychoactives : actuellement abstinent", de "syndrome post-commotionnel" et de "difficultés dans les rapports avec les parents". Soulignant en particulier que leur patient présente des difficultés relationnelles, une hypersensibilité au stress, une certaine rigidité, une tendance à l'impulsivité, une mauvaise intégration de l'image de soi, une difficulté marquée à organiser son temps et des difficultés importantes liées aux tâches administratives, ils affirment que la capacité de travail est nulle (cf. rapport du 22 avril 2021, dossier OAI, p. 466; cf. ég. p. 63). Le Dr P.________, spécialiste en médecine interne générale au sein du Service médical régional des offices AI, a écarté la thèse défendue par les deux thérapeutes du cabinet O.________, estimant que ceux-ci offrent "uniquement une analyse différente de la situation, qui à elle-seule n’est pas utile pour mettre en discussion les conclusions de l’expertise. Aucun nouvel élément n’est amené" (rapport du 11 mai 2021, dossier OAI, p. 474). Cette appréciation peut être suivie. En effet, l'on constate que les deux thérapeutes retiennent des diagnostics et des limitations proches des celles évoquées par les experts. C'est cependant sur la gravité et l'impact des troubles que l'appréciation des médecins diverge. Ainsi, alors que les thérapeutes évoquent un trouble dépressif récurrent, les experts ne retiennent qu'un épisode dépressif léger, évoquant un épisode dépressif moyen survenu après l'accident qui s'est amélioré mais excluant un trouble dépressif récurrent en l'absence d’antécédents dépressifs. De même, tous admettent que l'assuré souffre de limitations importantes, en particulier des troubles de l’attention, de l’organisation, de la planification, de la mémoire, du sommeil, cognitifs et hyperkinétiques. Pour autant, alors que les deux thérapeutes estiment que ces limitations rendent leur patient totalement inapte au travail, les experts retiennent une capacité de travail résiduelle de l'ordre de 40% dans une activité adaptée. Le cumul des atteintes à la santé du recourant entraîne certes de très importantes limitations et restrictions sur le plan de sa capacité à exercer une activité professionnelle. Cela n'est pas contesté. Elles n'apparaissent néanmoins pas entièrement la restreindre, au point qu'il ne soit plus en mesure de travailler, et cela même à un taux réduit. A cet égard, la Cour ne peut que constater que, malgré ses atteintes et avec l'aide de ses proches et thérapeutes, l'assuré a finalement été en mesure de terminer son cursus scolaire avec succès et décroché pas moins d'un Bachelor. La Cour doit dès lors plutôt se rattacher aux conclusions des experts interrogés.</w:t>
      </w:r>
    </w:p>
    <w:p>
      <w:r>
        <w:rPr>
          <w:b/>
        </w:rPr>
        <w:t>E. 5.2.3</w:t>
      </w:r>
    </w:p>
    <w:p>
      <w:r>
        <w:t>Enfin, les constats de Q.________, psychologue, R.________, neuropsychologue, S.________, logopédiste et neuropsychologue, et T.________, neuropsychologue, ne permettent pas de mettre en doute les conclusions des experts. Dans son rapport du 17 juillet 2017, soit un rapport réalisé peu après l'accident du 2 juin 2017, Q.________ mettait déjà en évidence un dysfonctionnement exécutif sur les versants cognitifs, comportementaux et émotionnels, des limitations attentionnelles et un déficit modéré en mémoire antérograde verbale et non-verbale. Elle estimait alors qu'il existait un potentiel de réadaptation avec un suivi adéquat (dossier OAI, p. 349). Pour sa part, dans son rapport du 6 septembre 2017, T.________ retenait qu'il existait des difficultés au niveau exécutif, tant sur le plan cognitif que sur le plan comportemental, associées à des difficultés attentionnelles ainsi que des difficultés au niveau de la cognition sociale et une anosognosie. Si certaines difficultés sur le plan cognitif et comportemental étaient présentes avant le traumatisme cranio-cérébral, elles semblent avoir été</w:t>
      </w:r>
    </w:p>
    <w:p>
      <w:r>
        <w:t>Tribunal cantonal TC Page 9 de 14 exacerbées (dossier OAI p. 356). Quant à R.________, elle constatait dans son rapport du</w:t>
      </w:r>
    </w:p>
    <w:p>
      <w:r>
        <w:rPr>
          <w:b/>
        </w:rPr>
        <w:t>E. 5.3</w:t>
      </w:r>
    </w:p>
    <w:p>
      <w:r>
        <w:t>Il ressort de l'ensemble de ce qui précède que les conclusions des experts de E.________ SA sont probantes tant d'un point de vue formel que matériel. L'on doit retenir que le recourant demeure en mesure de travailler à 40% (présence de 80% avec un rendement de 50%) dans une activité adaptée. Une telle activité doit correspondre aux limitations suivantes: "travail ne nécessitant pas de prise de décisions immédiate, de traitement d'informations simultanées, de planification, d’adaptation rapide à des situations précises, de gestion du stress et des émotions. Le travail doit éviter d’être monotone, et routinier, et être en adéquation avec les capacités d’innovation et d‘imagination que présente l’examiné. Le rapport à l’autre doit être pris en considération, car l’expertisé a des difficultés de compréhension de la pensée d’autrui". Dans son mémoire, le recourant réclame la mise sur pied de mesures d'instruction supplémentaires, à savoir sa propre audition, l'audition de ses parents, l'audition du Dr U.________, l'audition de N.________ ainsi que la mise sur pied d'une expertise psychiatrique. Cependant, la Cour étant en mesure de statuer sur la base des pièces au dossier, il est renoncé à procéder à d'autres mesures d'instruction par appréciation anticipée des preuves (cf. ATF 140 I 285 consid. 6.3.1 et les arrêts cités). Le Tribunal ne voit pas pour quel motif il pourrait en l’espèce se distancier de l’appréciation médicale résultant de l’expertise en procédant à des auditions de témoins.</w:t>
      </w:r>
    </w:p>
    <w:p>
      <w:r>
        <w:t>Tribunal cantonal TC Page 10 de 14 6. Dans la mesure où le recourant possède toujours une capacité de travail résiduelle, il convient de procéder au calcul du degré d'invalidité, ici selon la méthode générale de comparaison des revenus. 6.1.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6.2.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t>Tribunal cantonal TC Page 11 de 14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6.3.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TF 9C_584/2017 du 17 juillet 2018 consid. 3.3 et les références citées).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Cependant, si le revenu ne peut pas être déterminé précisément en termes de chiffres, il doit être estimé sur la base des circonstances connues dans le cas individuel et les valeurs approximatives ainsi obtenues doivent être comparées. Tel est également le cas si une détermination exacte des revenus est possible en soi mais nécessite un effort disproportionné et si l'on peut également supposer que la simple estimation des revenus donne un résultat suffisamment fiable. Si une estimation est faite, elle ne doit pas nécessairement consister en une détermination numérique de valeurs approximatives. Une comparaison de simples pourcentages peut suffire. Le revenu hypothétique qui peut être gagné sans handicap est alors évalué à 100 %, tandis que le revenu d'invalidité est estimé à un pourcentage proportionnellement plus faible, de sorte que le degré d'invalidité est dérivé de la différence de pourcentage (ATF 104 V 135 consid. 2b). La jurisprudence admet par ailleurs qu'il soit procédé à une comparaison des revenus par pourcentages lorsque les deux revenus comparatifs, et donc aussi le revenu tenant lieu de revenu de valide, doivent être déterminés sur la base du même salaire moyen statistique (arrêt TF 9C_882/2010 du 25 janvier 2011 consid. 7). 7. En l'espèce, dans ses décisions du 18 juin et 2 juillet 2021, l'OAI a reconnu le droit à une rente entière du 1er au 30 juin 2018 et à trois quarts de rente dès le 1er septembre 2020. En revanche, du 1er juillet 2018 au 31 août 2020, il lui a nié le droit à une rente. 7.1. De la date de l'accident jusqu'au 12 septembre 2020, l'OAI a estimé que l'assuré présentait une incapacité de travail totale dans toutes les activités. Il lui a donc reconnu le droit à une rente entière à partir du 1er juin 2018. Le droit à cette rente entière a toutefois été limité jusqu’au 30 juin 2018, dans le sens que l'OAI a supprimé le versement de cette rente du 1er juillet 2018 au 31 août 2020, dès lors que l'assuré avait bénéficié d'indemnités journalières. D'emblée, la Cour constate que la remise en cause du non-versement de la rente entre le 1er juillet 2018 et le 31 août 2020 n'est pas fondé et ne représente aucun intérêt pratique pour le</w:t>
      </w:r>
    </w:p>
    <w:p>
      <w:r>
        <w:t>Tribunal cantonal TC Page 12 de 14 recourant. En effet, il a bénéficié d'indemnités journalières du 1er juillet 2018 au 11 septembre 2020 (cf. dossier OAI, p. 155, 204 et 275). Il ne saurait manifestement, durant cette période, percevoir en sus une rente de l'assurance-invalidité (cf. art. 20ter RAI a contrario) de sorte qu'il y a lieu de confirmer la décision sur ce point. Le versement d'une rente entière du 1er au 30 juin 2018, puis la suppression de celui-ci pour la période du 1er juillet 2018 au 31 août 2020, sont donc confirmés. 7.2. Pour la période ultérieure, soit à partir du 1er septembre 2020, il convient de procéder au calcul du degré d'invalidité selon la méthode de comparaison des revenus. En l'espèce, le salaire de valide correspond à ce qu'aurait obtenu le recourant en tant que titulaire d'un Bachelor HES dans le design industriel et de produits, étant relevé qu'il a commencé cette formation avant son accident et qu’il ne souhaitait pas prolonger ses études par la suite mais plutôt chercher un emploi aux USA (dossier OAI, p. 591). L'assuré n'ayant jamais travaillé dans ce domaine, le montant doit être déterminé sur la base des statistiques de l'Enquête suisse sur la structure des salaires. Selon la nomenclature générale des activités économiques (NOGA 2008), les classes 73 à 75 comprennent les activités de design industriel et de produits (ch. 741001). Il convient de s'y référer. Pour sa part, le niveau de compétences fait référence à la classification internationale du type des professions (CITP), laquelle répartit les professions en fonction du type de travail qui est ou devrait être effectué. En l'occurrence, selon cette classification, le design industriel est compris dans le groupe des "spécialistes des sciences techniques" (groupe 21 CITP). Cela correspond au niveau de compétences 4 de l'ESS, soit les "tâches qui exigent une capacité à résoudre des problèmes complexes et à prendre des décisions fondées sur un vaste ensemble de connaissances théoriques et factuelles dans un domaine spécialisé" (cf. OFS, rapport explicatif de l'ESS 2012, p. 11ss; cf. ég. OFS, résultats commentés de l'ESS 2016, p. 25ss). Partant, le revenu de valide doit être fixé sur la base d'un montant mensuel de CHF 8'125.-, soit CHF 97'500.- annuellement (ESS 2018, TA1_Skill_Level, 73-75 "Autres activités spéc., scient. et techn.", niveau de qualification 4, hommes). Pour sa part, en l'absence d'un revenu effectivement réalisé, le revenu d'invalide peut également être estimé sur la base des chiffres de l'ESS 2018. A ce stade, la Cour doit rappeler qu'il convient de prendre en compte les possibilités de gain de l'assuré sur un marché du travail équilibré. Il s'agit d'une notion théorique de manière à ce que la disparité des niveaux de rémunération et des coûts de la vie n'interfère pas dans la comparaison objective des revenus avec et sans invalidité (cf. ATF 110 V 276 consid. 4b). Certes, on ne saurait se baser sur une activité irréaliste. Pour autant, l'on ne peut suivre le recourant lorsqu'il affirme que, "sur le terrain, une activité compatible avec les limitations et restrictions constatées n'est pas susceptible d'entrer en ligne de compte". En effet, pour déterminer le revenu que le recourant est en mesure d'acquérir malgré l'atteinte à la santé dont il souffre, il n'y a pas lieu de ne prendre en compte que les seules possibilités de travail concrètes offertes par le marché suisse du travail. En l'occurrence, à lire les experts, le recourant est en mesure de se prévaloir de son Bachelor HES dans le design industriel et de produits, une profession dans ce domaine étant considérée comme adaptée. L'on relève, en particulier et contrairement à ce que demande le recourant qui tend à confondre l'actuel "niveau de compétences" (ESS 2012 et postérieurs) avec l'ancien "niveau de</w:t>
      </w:r>
    </w:p>
    <w:p>
      <w:r>
        <w:t>Tribunal cantonal TC Page 13 de 14 qualification" (ESS 2010 et antérieurs), que l'on ne saurait se référer à un niveau de compétences inférieur, incompatibles avec le profil d'un designer selon la CITP. Il convient dès lors de prendre en compte le même montant mensuel que pour le revenu de valide, à savoir CHF 8'125.- mensuellement et CHF 97'500.- annuellement (ESS 2018, TA1_Skill_Level, 73-75 "Autres activités spéc., scient. et techn.", niveau de qualification 4, hommes). 7.3. Eu égard au fait que les revenus de valide et d'invalide sont fixés sur la base du même salaire moyen statistique (ESS 2018, TA1_Skill_Level, 73-75 "Autres activités spéc., scient. et techn.", niveau de qualification 4, hommes), le revenu de valide est fixé à 100%. Pour sa part, le revenu d'invalide correspond à la capacité résiduelle de travail, soit 40%. Cela équivaut à un degré d'invalidité de 60%. Un degré d'invalidité supérieur à 60% et inférieur à 70% donne droit à un trois-quarts de rente. C'est dès lors à juste titre que l'OAI a reconnu au recourant le droit à un trois-quarts de rente à partir du 1er septembre 2020. Dans son recours, l'assuré affirme que le revenu d'invalide doit être diminué de 15%, pour désavantage salarial, au vu du type de limitations fonctionnelles présentées ainsi que de son taux d'occupation réduit. Compte tenu de la situation personnelle du recourant, âgé de moins de 35 ans, de nationalité suisse, et du fait que les limitations fonctionnelles ont déjà été pris en compte dans le cadre de l'évaluation de sa capacité de travail résiduelle, une telle réduction n'apparaît pas justifiée. L'on rappelle en outre que l'exercice d'une activité à taux partiel n'est pas systématiquement un facteur d'abattement dès lors que, dans certains domaines d'activités, les emplois à temps partiel sont répandus et répondent à un besoin de la part des employeurs qui sont prêts à les rémunérer en conséquence (cf. ATF 126 V 75 consid. 5a/cc; cf. aussi arrêts TF 9C_10/2019 du 29 avril 2019 consid. 5.2.1; 8C_49/2018 du 8 novembre 2018 consid. 6.2.2.2). Cela étant, cette question peut demeurer ouverte, dans la mesure où elle n'a pas d'impact sur le litige d'espèce. En effet, un désavantage salarial de 15% correspond en l'espèce à une diminution de la capacité de gain de 6% (15% de 40%). La capacité de gain du recourant serait donc de 34% et il en découlerait un degré d'invalidité de 66%, toujours inférieur aux 70% ouvrant le droit à une rente entière. Sur ces constats, on peut se poser la question de l'existence d'un droit à une rente entière du 1er au 30 juin 2018. Néanmoins, la Cour renonce à procéder à une reformatio in pejus. 8. A ce stade, la Cour prend acte du fait que le recourant se plaint de ce que l'OAI n'ait pas répondu aux griefs soulevés dans ses objections. Bien qu'il ne s'en prévale pas expressément, ce grief – que l'on constate d'emblée peu motivé – peut être interprété comme la violation alléguée de son droit d'être entendu. En effet, la jurisprudence a déduit du droit d'être entendu le devoir de motiver une décision, afin que le justiciable puisse la comprendre, la contester utilement s'il y a lieu et exercer son droit de recours à bon escient. Cependant, force est de constater que cette violation n'apparaît pas patente en l'espèce, l'autorité intimée ayant statué en détail sur les allégations de l'assuré quant à son état de santé et la comparaison des revenus, y compris les niveaux de compétences et l'existence d'un désavantage salarial. Un tel grief serait dès lors infondé.</w:t>
      </w:r>
    </w:p>
    <w:p>
      <w:r>
        <w:t>Tribunal cantonal TC Page 14 de 14 9. Au vu de l'ensemble de ce qui précède, les recours, mal fondés, doivent être rejetés et les décisions du 18 juin et du 2 juillet 2021 confirmées. La procédure n'étant pas gratuite, les frais de justice pour les deux dossiers 608 2021 153 et 154 sont fixés à CHF 800.-. Ils sont mis à la charge du recourant qui succombe et sont compensés avec l'avance de CHF 800.- effectuée. Compte tenu de l'issue du recours, il n'est pas octroyé d'indemnité de partie. la Cour arrête : I. Les causes 608 2021 153 et 608 2021 154 sont jointes. II. Les recours sont rejetés. III. Les frais de justice, par CHF 800.-, sont mis à la charge du recourant qui succombe et sont compensés avec l'avance de CHF 800.- effectuée. IV. Il n'est pas octroyé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2022/pte Le Président : Le Greffier-rapporteur :</w:t>
      </w:r>
    </w:p>
    <w:p>
      <w:r>
        <w:rPr>
          <w:b/>
        </w:rPr>
        <w:t>E. 10</w:t>
      </w:r>
    </w:p>
    <w:p>
      <w:r>
        <w:t>juillet 2018 une normalisation de l'état de son patient sur de nombreux plans même si ce dernier estimait que son état s'était péjoré sur d'autres. Elle décrivait le tableau cognitif comme "caractérisé au premier plan par des difficultés attentionnelles et exécutives (versant comportemental) modérées, associées à un ralentissement de la vitesse de traitement et un dysfonctionnement exécutif sur le versant cognitif". Selon elle, "les troubles du sommeil, la fatigue et fatigabilité, ainsi que la non prise de médication (Ritaline) en raison d'une désorganisation du sommeil [étaient] autant de facteurs qui contribuent actuellement aux déficits" (dossier OAI, p. 360). Enfin, dans son rapport du</w:t>
      </w:r>
    </w:p>
    <w:p>
      <w:r>
        <w:rPr>
          <w:b/>
        </w:rPr>
        <w:t>E. 14</w:t>
      </w:r>
    </w:p>
    <w:p>
      <w:r>
        <w:t>août 2018, S.________ observait l'existence d'un dysfonctionnement exécutif sévère sur le versant comportemental auquel s'associaient des modifications socio-émotionnelles. Elle évoquait aussi une perturbation de la cognition sociale, des troubles attentionnels modérés ainsi que des troubles langagiers (dossier OAI, p. 352). Force est de constater que, dans leurs différents rapports, les psychologues et neuropsychologues font état de constats médicaux semblables à ceux retenus par les experts. L'on rappelle ainsi que, en substance, l'experte en neuropsychologie estimait que les problèmes d’attention, de concentration, de mémoire, d'organisation et de gestion émotionnelle du recourant avaient été exacerbées par les suites de l'accident du 2 juin 2017, et que des problèmes de fatigabilité et de fatigue liés à une perturbation du sommeil, une perte du souvenir du rêve et de l’odorat étaient alors apparues. Elle relevait que "ces séquelles sont lourdes au quotidien et sont selon les jours à la base de tristesses et d’angoisses plus ou moins momentanées dans la mesure où l’avenir relationnel et professionnel est devenu beaucoup plus incertain" (dossier OAI, p. 330). L'on souligne également que les psychologues et neuropsychologues traitants n'attestent d'aucune incapacité de travail, qui plus est totale. Au contraire, dans leurs différents rapports elles évoquent expressément la possibilité pour leur patient de se réadapter et/ou de reprendre ses études, moyennant un suivi adéquat. Elles vont dès lors plutôt dans les sens des conclusions des experts de E.________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