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151 vom 13. April 2022</w:t>
      </w:r>
    </w:p>
    <w:p>
      <w:r>
        <w:t>FR Kantonsgericht, 2022-04-13, FR</w:t>
      </w:r>
    </w:p>
    <w:p>
      <w:r>
        <w:rPr>
          <w:b/>
        </w:rPr>
        <w:t xml:space="preserve">Quelle: </w:t>
      </w:r>
      <w:r>
        <w:t>https://mcp.opencaselaw.ch/entscheid/fr_gerichte_608_2021_151</w:t>
      </w:r>
    </w:p>
    <w:p>
      <w:r>
        <w:t>FR: FR_GERICHTE 608 2021 151 du 13 avril 2022</w:t>
      </w:r>
    </w:p>
    <w:p>
      <w:r>
        <w:t>IT: FR_GERICHTE 608 2021 151 del 13 aprile 2022</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w:t>
      </w:r>
    </w:p>
    <w:p>
      <w:r>
        <w:t>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entrées en vigueur le 1er janvier 2022 ne sont ici pas applicables au vu de la date de la décision querellée.</w:t>
      </w:r>
    </w:p>
    <w:p>
      <w:r>
        <w:rPr>
          <w:b/>
        </w:rPr>
        <w:t>E. 2.1</w:t>
      </w:r>
    </w:p>
    <w:p>
      <w:r>
        <w:t>Aux termes de l'art. 8 al. 1 LPGA de la loi du 6 octobre 2000 sur la partie générale du droit des assurances sociales (LPGA; RS 830.1), applicable par le biais de l'art. 1 al. 1 de la loi du 19 juin</w:t>
      </w:r>
    </w:p>
    <w:p>
      <w:r>
        <w:t>Tribunal cantonal TC Page 4 de 10 1959 sur l'assurance-invalidité (LAI; RS 831.20), est réputée invalidité l'incapacité de gain totale ou partielle qui est présumée permanente ou de longue durée. Selon l'art. 4 al. 1 LAI, dite invalidité peut résulter d'une infirmité congénitale, d'une maladie ou d'un accident. Un taux d’invalidité de 40% au moins donne droit à un quart de rente; de 50% au moins, à une demi-rente; de 60% au moins, à trois-quarts de rente; de 70% au moins, à une rente entière (art. 28 al. 2 LAI).</w:t>
      </w:r>
    </w:p>
    <w:p>
      <w:r>
        <w:rPr>
          <w:b/>
        </w:rPr>
        <w:t>E. 2.2</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2.3</w:t>
      </w:r>
    </w:p>
    <w:p>
      <w:r>
        <w:t>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w:t>
      </w:r>
    </w:p>
    <w:p>
      <w:r>
        <w:rPr>
          <w:b/>
        </w:rPr>
        <w:t>E. 2.4</w:t>
      </w:r>
    </w:p>
    <w:p>
      <w:r>
        <w:t>La procédure dans le domaine des assurances sociales est régie par le principe inquisitoire selon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w:t>
      </w:r>
    </w:p>
    <w:p>
      <w:r>
        <w:t>Tribunal cantonal TC Page 5 de 10 de la maxime inquisitoire et en application du principe de la libre appréciation des preuves, d'établir un état de fait qui correspond, au degré de la vraisemblance prépondérante, à la réalité (ATF 139 V 176 consid. 5.2 et les références). Le droit de faire administrer des preuves suppose que le fait à prouver soit pertinent, que le moyen de preuve proposé soit nécessaire pour constater ce fait et que la demande soit présentée selon les formes et délais prescrits (cf. ATF 134 I 140 consid. 5.3).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arrêts cités).</w:t>
      </w:r>
    </w:p>
    <w:p>
      <w:r>
        <w:rPr>
          <w:b/>
        </w:rPr>
        <w:t>E. 2.5</w:t>
      </w:r>
    </w:p>
    <w:p>
      <w:r>
        <w:t>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3</w:t>
      </w:r>
    </w:p>
    <w:p>
      <w:r>
        <w:t>Est litigieux en l'espèce l'éventuel droit de l'assurée à des prestations AI.</w:t>
      </w:r>
    </w:p>
    <w:p>
      <w:r>
        <w:t>Tribunal cantonal TC Page 6 de 10</w:t>
      </w:r>
    </w:p>
    <w:p>
      <w:r>
        <w:rPr>
          <w:b/>
        </w:rPr>
        <w:t>E. 3.1</w:t>
      </w:r>
    </w:p>
    <w:p>
      <w:r>
        <w:t>Le recours porte sur l'état de santé psychique de l'assurée et ses conséquences sur sa capacité de travail. Elle n'invoque pas d'autre grief sur lequel s'étendre quant au contenu de la décision ou l'instruction à sa base. On ne peut en particulier rien tirer du rappel fait par la psychiatre, dans son dernier rapport, des troubles physiques dont l'assurée a souffert ou souffre encore, ni de la seule assertion de la recourante que si aucun de ceux-ci pris isolément ne pourrait justifier une incapacité de travail ou une invalidité, leur cumul rend étonnant déjà que cette dernière ne soit pas retenue. A cet égard, la nature et l'intensité objectivement retrouvée des différentes atteintes somatiques dont s'est plainte l'assurée est soulignée. A titre d'exemple, on relèvera les constats très rassurants de l'expert- rhumatologue B.________, notamment quant au tunnel carpien gauche curé (main non dominante), à l'épaule droite, à la notion de hernie discale lombaire et de douleurs au rachis dorso-lombaire rapportées par l'expertisée, et à la fibromyalgie qui aurait été établie il y avait une dizaine d'années mais dont les critères diagnostics n'étaient plus remplis; et que ledit expert retenait l'exigibilité totale de l'activité professionnelle dès fin mars 2018, sans limitation fonctionnelle notable (cf. rapport du</w:t>
      </w:r>
    </w:p>
    <w:p>
      <w:r>
        <w:rPr>
          <w:b/>
        </w:rPr>
        <w:t>E. 3.2</w:t>
      </w:r>
    </w:p>
    <w:p>
      <w:r>
        <w:t>Dans son rapport du 25 mai 2021 (cf. dos. OAI 249), l'expert-psychiatre Dr C.________ retient un trouble de l'adaptation, réaction mixte anxieuse et dépressive (F43.22), incapacitant, de novembre 2019 à mai 2020. Sans effet sur la capacité de travail, il mentionne un trouble douloureux somatoforme persistant (F45.4). Pour fonder le premier diagnostic précité, il explique notamment que l'expertisée présente une thymie fluctuante, qu'il n'observe pas de signes en lien avec un trouble de l'humeur majeur, et qu'il n'a pas d'arguments pour un trouble dépressif récurrent ou affectif bipolaire, ce même si la psychiatre traitante a rapporté des périodes de dépression plus marquées et retenu un diagnostic incapacitant à cet égard. Des symptômes anxieux fluctuants, mal structurés, circonstanciels sont référencés également, mais sans atteindre là non plus le degré d'un trouble anxieux spécifique, même s'ils peuvent être assez aigus en cas de stress. La situation socio-économique pourrait contribuer à la symptomatologie anxio-dépressive et à la perception douloureuse. L'assurée mentionne d'ailleurs que ses angoisses ont débuté après la perte de son travail, du fait de l'absence de salaire. Ensuite, s'il retient, à l'instar de la psychiatre traitante, un trouble douloureux somatoforme persistant, l'expert lui dénie un caractère incapacitant, relevant notammment que les douleurs ne sont pas survenues dans le cadre d’un état dépressif sévère ou d’un autre trouble psychiatrique grave, que le mode de pensée opératoire, le niveau d’éducation limité et la situation socio- économique familiale sont autant de facteurs - non déterminants quant à la capacité de travail - pouvant contribuer à ce trouble, que, de même, la sollicitation et la mobilisation de son entourage pourraient constituer des bénéfices secondaires entravant une reprise d'activité. En outre, il n'y a pas de perte d'intégration sociale dans tous les domaines de la vie secondaire aux douleurs. Enfin</w:t>
      </w:r>
    </w:p>
    <w:p>
      <w:r>
        <w:t>Tribunal cantonal TC Page 7 de 10 et surtout, son appréciation des capacités et ressources de l'expertisée montre qu'elles sont (très) largement totalement conservées ou limitées légèrement, et au plus moyennement pour un tout petit nombre d'entre elles. Sont rapportées, notamment: subjectivement, des ruminations obsessionnelles de la pensée en lien avec les difficultés financières, ainsi que des traits mixtes de la personnalité sous forme de traits anankastiques; cliniquement, les ruminations précitées, en lien également avec les douleurs, ainsi qu'une absence de phénomène de dépersonnalisation ou de déréalisation, et, sur le plan de la personnalité, le facteur prédisposant d'anamnèse infanto-juvénile traumatique, une instabilité professionnelle et relationnelle ainsi qu'une tendance au perfectionnisme, selon l'anamnèse et des documents au dossier, ainsi que des traits problématiques de la personnalité du registre anankastique (doute, tendance au perfectionnisme, etc.). Et l'expert-psychiatre de conclure qu'il n'a pas observé de signes objectifs en lien avec un trouble de l'humeur majeur, et qu'à l’heure actuelle, pas plus que les symptômes dépressifs, les symptômes anxieux ne semblent relever d’un trouble anxieux spécifique, qu'une nette amélioration des troubles anxieux et dépressifs semble s’être produite, malgré la persistante des plaintes subjectives. En ce qui concerne le trouble douloureux somatoforme persistant l’évolution tend vers une chronicisation dans une situation de contexte financier difficile. L'état psychique s'est objectivement amélioré, et une incapacité de travail en découlant ne peut être retenue qu'entre novembre 2019 et fin mai 2020. Le peu de motivation à une réintégration professionnelle ainsi que des contraditions entre la symptomatologie dépressive subjective et la séminologie dépressive objective sont relevés.</w:t>
      </w:r>
    </w:p>
    <w:p>
      <w:r>
        <w:rPr>
          <w:b/>
        </w:rPr>
        <w:t>E. 3.3</w:t>
      </w:r>
    </w:p>
    <w:p>
      <w:r>
        <w:t>Pour la Cour, l'expertise psychiatrique réalisée est détaillée et remplit les conditions posées par la jurisprudence pour lui reconnaître force probante sur le plan formel. Pour son appréciation, l'expert s'est fondé sur l'étude de l'ensemble du dossier assécurologique. La teneur d'autres rapports et examens médicaux a en particulier été mentionnée. Il a fait état notamment de l'anamnèse, ainsi que des plaintes, des données et indications subjectives de l'assurée, et des observations cliniques réalisées. Il ne s'est pas contenté de considérer de manière abstraite la problématique. Les points litigieux ont fait l'objet d'une étude circonstanciée et méthodologique, le contexte et l'appréciation médicaux ont été décrits de manière claire. Il a pu livrer ses constatations objectives obtenues lors des deux entretiens d'examen clinique menés, à l'occasion desquels il a examiné personnellement l'assurée et observé son comportement. Il a notamment analysé ses capacités, ressources et difficultés (limitations fonctionnelles). C'est de façon claire qu'il a apporté une conclusion à son expertise, répondu aux questions qui lui étaient posées et s'est prononcé sur la question du suivi thérapeutique. Il ne retenait qu'un trouble de l'adaptation, réaction mixte anxieuse et dépressive (F43.22), ainsi que son effet incapacitant uniquement de novembre 2019 à mai 2020. Du point de vue strictement psychiatrique, l'expert considérait notamment que les mesures médicales mises en place avaient été suffisantes pour que la capacité de travail ait pu définitivement s'améliorer. En d'autres termes, à l'issue de la période précitée - en l'espèce non déterminante du point de vue de l'assurance-invalidité -, il n'y avait plus sur ce plan d'atteinte ou de symptomatologie engendrant des limitations fonctionnelles pertinentes. Sous réserve d'un indice concret permettant de douter de son bien-fondé, le contenu de cette expertise doit être préféré à celui d'autres pièces médicales, étant rappelé pour le surplus la certaine réserve à observer, cas échéant, par rapport à un document provenant d'un médecin traitant.</w:t>
      </w:r>
    </w:p>
    <w:p>
      <w:r>
        <w:rPr>
          <w:b/>
        </w:rPr>
        <w:t>E. 3.4</w:t>
      </w:r>
    </w:p>
    <w:p>
      <w:r>
        <w:t>A cet égard, la Dre D.________, psychiatre traitante depuis le 31 octobre 2019, environ deux fois par mois, a, dans ses rapports des 26 mars et 5 mai 2020 (cf. dos. OAI 209 et 215) diagnostiqué</w:t>
      </w:r>
    </w:p>
    <w:p>
      <w:r>
        <w:t>Tribunal cantonal TC Page 8 de 10 un trouble anxieux dépressif mixte (F41.2) existant depuis 2019, un syndrome douloureux somatoforme persistant (F45.4), depuis plusieurs années, et, diagnostic différentiel, des troubles moteurs dissociatifs (F44.4; perte de voix lorsqu'elle s'énerve), à partir 2019; avec une incapacité de travail totale depuis le 30 novembre 2019 attestée en conséquence de ces atteintes. L'antidépresseur Brintellix 20mg chaque matin lui est prescrit. Sa patiente présente un sentiment de tristesse accompagné de pleurs, de désespoir et d’impression de vide, une diminution de l’intérêt, des troubles alimentaires (prise de poids), des difficultés à trouver le sommeil malgré une fatigue importante, un ralentissement psychomoteur, des sentiments de dévalorisation et de culpabilité importante, des troubles cognitifs (difficultés de la concentration et de la mémoire de fixation), ainsi que de multiples plaintes somatiques. Au titre des symptômes, elle mentionne fatigue, stress, nervosité, angoisses, maltraitance dans l'enfance, tristesse, pleurs, parfois désespoir, trouble du sommeil, manque de motivation, oublis et douleurs. A la demande de l'assurée du 10 juin 2021, la praticienne livre, le 29 juillet 2021, ses observations relativement à l'expertise psychiatrique. Pour la Cour, hormis un élément relatif à la personnalité (cf. infra), cette détermination ne contient pas de nouveauté par rapport à ce que rappelé ci-dessus. On n'y distingue pas non plus une remise en cause explicitée et précise du contenu de l'expertise, en particulier quant aux atteintes à la santé psychique retenues ou écartées par l'expert-psychiatre et leurs éventuelles conséquences sur la capacité de travail. La praticienne liste à nouveau des atteintes somatiques "banales" et met en exergue les douleurs et symptômes (souffrances) somatiques qui se seraient aggravés et influenceraient la santé mentale parce que la défense, le bouclier psychique que sa patiente se serait constituée serait devenu progressivement inefficace, jusqu'à s'écrouler (sans autre précision de temporalité). Dans la mesure où elle évoquerait là un trouble/syndrome douloureux somatoforme persistant (F45.4), l'on relèvera que l'expert-psychiatre l'a retenu également, mais sans effet sur la capacité de travail, ce qu'elle ne dispute pas, à tout le moins pas suffisamment. De même, la seule mention d'angoisses archaïques, d'un mal-être, d'anxiétés et "surtout [de] la dépression ou autre maladie psychique" ne justifie pas de revenir sur l'appréciation de l'expert, et notamment pas sur son rejet d'un diagnostic de trouble anxieux et dépressif mixte (F41.2) et qui aurait un degré de gravité important, contribuant, de principe, à la limitation de l'exercice de toute activité, selon la psychiatre traitante. La recourante fait grief à l'expert d'avoir oublié le diagnostic de trouble de la personnalité anankastique (F60.5), qui a pourtant des effets directs sur sa vie professionnelle. A lire les observations de sa praticienne, celle-ci paraît effectivement considérer que l'expert a diagnostiqué une personnalité anankastique, soit, selon elle, une modification de la personnalité due à une autre affection médicale. Il n'en est rien, il n'a fait état, à cet égard, que de traits mixtes anankastiques rapportés du point de vue subjectif, et de ses propres constats de traits problématiques de la personnalité du registre anankastique. Ne retenir que des traits indique que les symptômes qu'il observait n'étaient pas suffisants pour admettre un trouble spécifique de la personnalité, qu'ils n'avaient pas valeur de maladie psychiatrique et ne pouvaient fonder une incapacité de travail déterminante ici (cf. arrêt TF 9C_756/2018 du 17 avril 2019 consid. 5.2.2). On peine au demeurant à saisir si la praticienne, lorsqu'elle mentionne une personnalité rigide, ainsi qu'une absence de capacités d'élaboration et d'introspection, retient effectivement, elle, un trouble de la personnalité avec effet sur la capacité de travail, quel serait alors sa temporalité, ses conséquences effectives et explicitées sur la capacité de travail. Rien ne permet d'expliquer en outre pourquoi elle ne l'avait pas mentionné dans ses rapports antérieurs. Indiquer sans plus de précision qu'un manuel de</w:t>
      </w:r>
    </w:p>
    <w:p>
      <w:r>
        <w:t>Tribunal cantonal TC Page 9 de 10 psychiatrique décrit huit manifestations dont quatre, au moins, doivent être présentes pour que le trouble de personnalité anankastique puisse être retenu ne suffit pas pour justifier de s'écarter de l'expertise. Enfin, soulignons que du point de vue de la tenue du ménage, aucun indice ne vient étayer de quelconques empêchements dans l'accomplissement de ses tâches; l'assurée ne le prétend pas non plus.</w:t>
      </w:r>
    </w:p>
    <w:p>
      <w:r>
        <w:rPr>
          <w:b/>
        </w:rPr>
        <w:t>E. 3.5</w:t>
      </w:r>
    </w:p>
    <w:p>
      <w:r>
        <w:t>Dès lors, la Cour fait siennes les conclusions de l'OAI, fondées sur l'expertise, d'absence d'incapacité de travail déterminante également sur le plan psychique, respectivement d'empêchements dans l'accomplissement des tâches ménagères, au-delà de la période retenue par l'expert. Partant, il n'y aucun motif de remettre en cause la décision entreprise qui retient à juste titre, sur cette base, un taux d'invalidité nul, à tout le moins manifestement insuffisant pour permettre à l'assurée de prétendre à une quelconque rente. Au vu du dossier et de ce qui précède, la Cour est en mesure de statuer et il n'y a pas lieu de mette en œuvre une contre-expertise psychiatrique. 4. Le recours, mal fondé, doit dès lors être rejeté, et la décision attaquée, confirmée. Les frais de justice, fixés à CHF 800.-, seront mis à la charge de la recourante, qui succombe. Ils seront compensés par l'avance de frais du même montant. Il ne sera pas alloué de dépens. (dispositif sur la page suivante)</w:t>
      </w:r>
    </w:p>
    <w:p>
      <w:r>
        <w:t>Tribunal cantonal TC Page 10 de 10 la Cour arrête : I. Le recours est rejeté. II. Les frais de justice, par CHF 800.-, sont mis à la charge de la recourante et seront prélevés sur son avance de frais, d'un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avril 2022/djo Le Président : Le Greffier-rapporteur :</w:t>
      </w:r>
    </w:p>
    <w:p>
      <w:r>
        <w:rPr>
          <w:b/>
        </w:rPr>
        <w:t>E. 7</w:t>
      </w:r>
    </w:p>
    <w:p>
      <w:r>
        <w:t>mars 2018, dos. OAI 53). Outre que le descriptif de la psychiatre traitante d'atteintes somatiques qui, selon elle, pouvaient être considérées comme des maladies "banales" dans un premier temps, touche à un domaine hors sa spécialité, on ne distingue notamment pas en quoi il remettrait en cause l'appréciation faite par l'OAI du volet somatique et de ses répercussions sur la capacité de travail. C'est donc le seul plan psychique qu'il convient d'examiner ici. Le reste du dossier et du contenu de la décision, rappelé ci-dessus, ne le doit pas; il est considéré comme admis par la recourante. En particulier, celle-ci ne remet pas en cause la méthode d'évaluation de l'invalidité ni la répartition entre l'activité lucrative et les tâches ménagères.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