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118 vom 3. Januar 2022</w:t>
      </w:r>
    </w:p>
    <w:p>
      <w:r>
        <w:t>FR Kantonsgericht, 2022-01-03, FR</w:t>
      </w:r>
    </w:p>
    <w:p>
      <w:r>
        <w:rPr>
          <w:b/>
        </w:rPr>
        <w:t xml:space="preserve">Quelle: </w:t>
      </w:r>
      <w:r>
        <w:t>https://mcp.opencaselaw.ch/entscheid/fr_gerichte_608_2021_118</w:t>
      </w:r>
    </w:p>
    <w:p>
      <w:r>
        <w:t>FR: FR_GERICHTE 608 2021 118 du 3 janvier 2022</w:t>
      </w:r>
    </w:p>
    <w:p>
      <w:r>
        <w:t>IT: FR_GERICHTE 608 2021 118 del 3 gennaio 2022</w:t>
      </w:r>
    </w:p>
    <w:p>
      <w:pPr>
        <w:pStyle w:val="Heading2"/>
      </w:pPr>
      <w:r>
        <w:t>Regeste</w:t>
      </w:r>
    </w:p>
    <w:p>
      <w:r>
        <w:t>Arrêt de la IIe Cour des assurances sociales du Tribunal cantonal | Invalidenversicherung</w:t>
      </w:r>
    </w:p>
    <w:p>
      <w:pPr>
        <w:pStyle w:val="Heading2"/>
      </w:pPr>
      <w:r>
        <w:t>Erwägungen</w:t>
      </w:r>
    </w:p>
    <w:p>
      <w:r>
        <w:rPr>
          <w:b/>
        </w:rPr>
        <w:t>E. 22</w:t>
      </w:r>
    </w:p>
    <w:p>
      <w:r>
        <w:t>décembre 2017) à l’époque où elle a rendu sa décision (le 29 septembre 2017), l'OAI en aurait sans doute nié la valeur probante et considéré qu’il ne pouvait en suivre les conclusions; qu'il aurait en conséquence repris l’instruction sur le plan médical, en mettant en œuvre une nouvelle expertise indépendante, puis statué à nouveau; qu'il se justifie par conséquent de retenir que les conditions permettant de réviser la décision sont également remplies sur le fond; que, statuant à nouveau comme le lui permet l’art. 68 PA, la Cour annule la décision de l’OAI du 29 septembre 2017 et lui renvoie la cause pour nouvelle expertise, à tout le moins bidisciplinaire (rhumatologique et psychiatrique), puis nouvelle décision; qu'au vu de l'issue du litige, les frais de justice, ici fixés à CHF 400.-, sont mis à la charge de l’OAI; que l’avance de frais du même montant versée par la recourante lui sera dès lors restituée; que cette dernière ayant obtenu gain de cause dans le cadre de sa demande de révision, elle a droit à une indemnité pour ses dépens. Compte tenu de la liste de frais produite le 22 décembre 2021 par son mandataire, il se justifie de fixer l’indemnité de partie due à CHF 2'229.15 d’honoraires</w:t>
      </w:r>
    </w:p>
    <w:p>
      <w:r>
        <w:t>Tribunal cantonal TC Page 5 de 5 correspondant à 8h55 au tarif horaire de CHF 250.-, plus CHF 35.10 de débours et CHF 174.35 de TVA à 7.7%, soit un total de CHF 2'438.60; que cette indemnité est mise à la charge de l'autorité intimée et sera versée par cette dernière directement à Me Guerry; la Cour arrête : I. La demande de révision du 22 mars 2021 est admise et la décision de l'Office de l'assurance- invalidité du canton de Fribourg du 29 septembre 2017 est annulée. Partant, la cause est renvoyée à l’Office de l’assurance-invalidité du canton de Fribourg pour complément d’instruction et nouvelle décision au sens des considérants. II. Les frais de justice relatifs à la procédure de révision, par CHF 400.-, sont mis à la charge de l’Office de l’assurance-invalidité du canton de Fribourg. III. L'avance de frais de CHF 400.-, versée par la recourante, lui sera restituée. IV. Il est alloué à la recourante une indemnité de partie fixée à CHF 2'229.15 d’honoraires, plus CHF 35.10 de débours, plus CHF 174.35 de TVA à 7.7%, soit à un total de CHF 2'438.60, mise à la charge de l'Office de l'assurance-invalidité du canton de Fribourg. Dite indemnité sera versée directement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janvier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