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101 vom 27. Januar 2022</w:t>
      </w:r>
    </w:p>
    <w:p>
      <w:r>
        <w:t>FR Kantonsgericht, 2022-01-27, FR</w:t>
      </w:r>
    </w:p>
    <w:p>
      <w:r>
        <w:rPr>
          <w:b/>
        </w:rPr>
        <w:t xml:space="preserve">Quelle: </w:t>
      </w:r>
      <w:r>
        <w:t>https://mcp.opencaselaw.ch/entscheid/fr_gerichte_608_2021_101</w:t>
      </w:r>
    </w:p>
    <w:p>
      <w:r>
        <w:t>FR: FR_GERICHTE 608 2021 101 du 27 janvier 2022</w:t>
      </w:r>
    </w:p>
    <w:p>
      <w:r>
        <w:t>IT: FR_GERICHTE 608 2021 101 del 27 gennaio 2022</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w:t>
      </w:r>
    </w:p>
    <w:p>
      <w:r>
        <w:rPr>
          <w:b/>
        </w:rPr>
        <w:t>E. 3.1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w:t>
      </w:r>
    </w:p>
    <w:p>
      <w:r>
        <w:rPr>
          <w:b/>
        </w:rPr>
        <w:t>E. 3.2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w:t>
      </w:r>
    </w:p>
    <w:p>
      <w:r>
        <w:t>Tribunal cantonal TC Page 4 de 12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4.1</w:t>
      </w:r>
    </w:p>
    <w:p>
      <w:r>
        <w:t>Une décision par laquelle l'OAI accorde une rente avec effet rétroactif et en même temps prévoit la réduction ou suppression de cette rente correspond à une décision de révision au sens de l'art. 17 LPGA (VSI 2001 155 consid. 2; ATF 131 V 164). Selon cette disposition, si le taux d'invalidité du bénéficiaire de la rente subit une modification notable, la rente est, d'office ou sur demande, révisée pour l'avenir, à savoir augmentée ou réduite en conséquence, ou encore supprimée.</w:t>
      </w:r>
    </w:p>
    <w:p>
      <w:r>
        <w:rPr>
          <w:b/>
        </w:rPr>
        <w:t>E. 4.2</w:t>
      </w:r>
    </w:p>
    <w:p>
      <w:r>
        <w:t>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4.3</w:t>
      </w:r>
    </w:p>
    <w:p>
      <w:r>
        <w:t>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w:t>
      </w:r>
    </w:p>
    <w:p>
      <w:r>
        <w:t>Tribunal cantonal TC Page 5 de 12 (ATF 125 V 413 consid. 2d). Il en va de même si l'autorité intimée a rendu une ou plusieurs décisions séparées du même jour (ATF 131 V 164 consid. 2.3).</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5.3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12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6</w:t>
      </w:r>
    </w:p>
    <w:p>
      <w:r>
        <w:t>Est d'abord litigieuse, l'incapacité de gain du recourant, ce qui implique d'examiner son état de santé ainsi que son impact sur sa capacité de travail.</w:t>
      </w:r>
    </w:p>
    <w:p>
      <w:r>
        <w:rPr>
          <w:b/>
        </w:rPr>
        <w:t>E. 6.1</w:t>
      </w:r>
    </w:p>
    <w:p>
      <w:r>
        <w:t>Dans sa décision du 23 avril 2021, l'OAI a retenu que l'état de santé de l'assuré était "compatible à 100% (horaire et rendement) avec l’exercice d’une activité professionnelle adaptée". Il se réfère en cela explicitement aux conclusions des médecins de D.________, la Dre F.________, spécialiste en psychiatrie et psychothérapie, et du Dr G.________, spécialiste en médecine physique et réadaptation, dans leurs différents rapports du 22 octobre 2020, complétés le 17 mars 2021 suite aux objections de l'assuré (dossier OAI, p. 315, 342, 371 et 484). Les conclusions des experts sont d'abord fondées sur l'étude des pièces mises à leur disposition par l'OAI, complétée par des pièces déposées par l'assuré ainsi qu'un monitoring médicamenteux. Ils ont également rencontré ce dernier lors d'un entretien le 4 septembre 2020, réalisé en présence d'un interprète. A cette occasion, celui-ci a été en mesure de décrire son état de santé, en particulier ses douleurs – cervicales, lombaires, aux articulations (poignets, genoux, chevilles ou entre les phalanges) – ainsi que leur impact sur sa vie quotidienne et professionnelle, avec trois échecs de reprise d'une activité adaptée. Il a également été en mesure d'expliquer son incompréhension en lien avec la tendance anxio-dépressive diagnostiquée, affirmant n'avoir aucun symptôme psychique en dehors de journées où il se sent plus irritable. Pour leur part, lors de ces entretiens, les experts ont été en mesure de procéder à des examens complets. Le psychiatre constate par exemple que le patient a tendance à minimiser la symptomatologie anxio-dépressive mais souligne des signes le faisant conclure à l'existence d'un trouble de l’adaptation en lien avec l'arrêt du travail en 2017. Pour sa part, le spécialiste en réadaptation relève un examen clinique "rassurant avec l'absence de franche limitation de la mobilité du rachis cervical, l’absence de douleur à la palpation des massifs facettaires cervicaux, une mobilité indolore et normale du rachis lombaire, des membres, avec uniquement au niveau des mains un défaut d’extension P1 P2 des auriculaires, l’examen neurologique retrouve quelques signes d’irritation pyramidale des quatre membres". Se fondant sur l'ensemble de ces éléments, les médecins retiennent les diagnostics de "status postchirurgie cervicale de C5 à D1 du 03.08.2018 pour myélopathie cervicarthrosique", de "cervicalgies en relation avec des lésions dégénératives (IRM du rachis cervical du 17.07.2020)", de "lombalgies en relation avec des lésions dégénératives (IRM du 14.03.2019)" et de "trouble de l’adaptation avec réaction mixte, anxieuse et dépressive". En revanche, les médecins nient l'existence d'un trouble somatoforme, en l’absence de toute plainte psychique, d'une fibromyalgie,</w:t>
      </w:r>
    </w:p>
    <w:p>
      <w:r>
        <w:t>Tribunal cantonal TC Page 7 de 12 en l’absence d’un nombre significatif de points de Smythe douloureux, et de rhumatisme psoriasique, en l’absence de symptômes significatifs et d'échec des traitements. S'agissant de la capacité de travail, ils estiment que seuls les diagnostics somatiques sont la cause de limitations fonctionnelles empêchant l'assuré de travailler en tant qu'aide jardinier. Ils attestent dès lors d'une incapacité de travail totale dans toutes les activités depuis le 14 mai 2017, date à laquelle il a été possible de poser le diagnostic de myélopathie cervicale. Selon eux, ces atteintes n'empêchent toutefois pas le recourant de reprendre un travail adapté à 100%, sans perte de rendement, à partir du 1er janvier 2019, soit "cinq mois après l’intervention chirurgicale cervicale". Une telle activité doit éviter toute flexion ou extension du rachis cervical, éviter une antéflexion prolongée du tronc et limiter le port de charges (moins de 10 kg en rectitude du rachis et moins de 2 kg en antéflexion du tronc). L'on peut ainsi suivre l'OAI lorsqu'il considère que l'expertise de D.________ possède une pleine force probante. Néanmoins, à lire le rapport d'expertise, la décision litigieuse est partiellement erronée dans ses considérants. En effet, les experts attestent d'une incapacité de travail totale dans toutes les activités du 14 mai 2017 au 31 décembre 2018. Cela a, ainsi qu'on le verra ci-après, une incidence sur le droit aux prestations du recourant.</w:t>
      </w:r>
    </w:p>
    <w:p>
      <w:r>
        <w:rPr>
          <w:b/>
        </w:rPr>
        <w:t>E. 6.2</w:t>
      </w:r>
    </w:p>
    <w:p>
      <w:r>
        <w:t>Les conclusions des autres médecins interrogés ne contredisent pas l'appréciation des experts quant à la reprise possible d'une activité adaptée à 100% depuis le 1er janvier 2019. Ainsi, le Dr H.________, spécialiste en chirurgie orthopédique et traumatologie de l'appareil locomoteur, a attesté d'une incapacité de travail de 100% jusqu'au 13 mars 2019 et, par la suite, de 40%. Cette incapacité de travail est néanmoins limitée aux "travaux physiques avec port de charges lourdes, ce qui décrit [l']activité professionnelle actuelle". En revanche, il estime que dans une activité adaptée, la capacité de travail est "d'au moins 50%" (rapports du 20 mars et du 4 octobre 2019, dossier OAI, p. 104 et 194; cf. ég. p. 1, 24, 31, 133, 166, 174, 186, 204, 206, 231, 233 et 235). Pour sa part, le Dr I.________, spécialiste en médecine interne générale, a une vision moins optimiste de la capacité de travail dans l'ancienne activité d'aide-jardinier. En revanche, il estime que les atteintes à la santé n'empêchent pas son patient de travailler "plusieurs heures selon toute vraisemblance" dans une activité adaptée (rapport du 8 mars 2019, dossier OAI, p. 94; cf. ég. p. 59, 66, 130s, 139, 144, 184 et 189). En d'autres termes, ces deux médecins confirment que leur patient est en mesure de travailler "au moins 50%" dans une activité adaptée, respectivement "plusieurs heures par jour", ce qui ne permet pas de remettre en cause la capacité de travail entière retenue par les experts. Pour sa part, le Dr J.________, médecin-assistant au sein de la clinique de rhumatologie de K.________, estime que son patient n'est plus en mesure de réaliser un travail physique lourd mettant à contribution le rachis et les articulations périphériques, de porter des charges de façon prolongée, fréquente et/ou répétée, de rester immobile dans des positions assises et debout de façon prolongée et de marcher de façon continue et/ou prolongée. Dans ce contexte, il estime que la capacité de travail est nulle dans l'ancienne activité d'aide-jardinier. En revanche, il "pense que dans une activité qui tienne compte de l’atteinte à la santé et des limitations susmentionnées, on peut raisonnablement attendre un taux horaire de 80% environ, soit 6.5 heures/jour environ" (rapport du 26 janvier 2020, dossier OAI, p. 219; cf. ég. p. 212, 225 et 227). Ce médecin retient ainsi des limitations fonctionnelles proches de celles évoquées par les experts de D.________. Pour sa part, la légère différence d'appréciation de la capacité de travail résiduelle (80% au lieu de 100%) n'a pas d'incidence sur le droit à la rente (cf. consid. 7.2 ci-après).</w:t>
      </w:r>
    </w:p>
    <w:p>
      <w:r>
        <w:t>Tribunal cantonal TC Page 8 de 12 A l'instar des autres médecins, le Dr L.________, neurochirurgien non inscrit en Suisse, atteste d'une incapacité de travail totale et permanente dans l'activité habituelle. Il n'évoque, pour autant, aucune incapacité de travail dans l'activité adaptée retenue par les experts de D.________ (idem, p. 415s, 439, 454 et 464). Tel est également le cas de la Dre M.________, psychiatre non inscrite en Suisse, lorsqu'elle déconseille "l'activité professionnelle à laquelle [son patient] était habitué, ainsi que toute autre qui nécessite un effort physique accru" (idem, p. 435 et 466). Enfin, le Dr N.________, spécialiste en neurologie (cf. dossier OAI, p. 143), la Dre O.________, spécialiste en neurologie (idem, p. 182, 237, 240), la Dre P.________, spécialisation inconnue (idem, p. 417s), le Dr Q.________, spécialisation inconnue (idem, p. 428), la Dre R.________, spécialisation inconnue (idem, p. 433), le Dr S.________, spécialisation inconnue (idem, p. 437), le Dr T.________, spécialisation inconnue (idem, p. 465) et le Dr U.________, généraliste non inscrit en Suisse (idem, p. 459 et 467), ne se prononcent pas quant à l'incidence des troubles sur la capacité de travail de leur patient, qui plus est dans une activité adaptée. Les autres rapports produits ne sont pas lisibles, respectivement leur auteur n'est pas identifiable (idem, p. 420, 422, 450, 455 et 457).</w:t>
      </w:r>
    </w:p>
    <w:p>
      <w:r>
        <w:rPr>
          <w:b/>
        </w:rPr>
        <w:t>E. 6.3</w:t>
      </w:r>
    </w:p>
    <w:p>
      <w:r>
        <w:t>Il ressort de l'ensemble de ce qui précède que le recourant doit se voir reconnaître une incapacité de travail totale du 14 mai 2017 au 31 décembre 2018. Dès le 1er janvier 2019, en revanche, il doit se voir reconnaître une pleine capacité de travail dans une activité adaptée, évitant toute flexion ou extension du rachis cervical, toute antéflexion prolongée du tronc et tout port de charges (mois de 10 kg en rectitude du rachis et moins de 2 kg en antéflexion du tronc).</w:t>
      </w:r>
    </w:p>
    <w:p>
      <w:r>
        <w:rPr>
          <w:b/>
        </w:rPr>
        <w:t>E. 7.1</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7.2</w:t>
      </w:r>
    </w:p>
    <w:p>
      <w:r>
        <w:t>En règle générale, le revenu hypothétique de la personne valide se détermine en établissant au degré de la vraisemblance prépondérante ce qu'elle aurait effectivement pu réaliser au moment</w:t>
      </w:r>
    </w:p>
    <w:p>
      <w:r>
        <w:t>Tribunal cantonal TC Page 9 de 12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rPr>
          <w:b/>
        </w:rPr>
        <w:t>E. 7.3</w:t>
      </w:r>
    </w:p>
    <w:p>
      <w:r>
        <w:t>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w:t>
      </w:r>
    </w:p>
    <w:p>
      <w:r>
        <w:t>Tribunal cantonal TC Page 10 de 12</w:t>
      </w:r>
    </w:p>
    <w:p>
      <w:r>
        <w:rPr>
          <w:b/>
        </w:rPr>
        <w:t>E. 8.1</w:t>
      </w:r>
    </w:p>
    <w:p>
      <w:r>
        <w:t>Le recourant se voit ainsi reconnaître une incapacité de travail totale du 14 mai 2017 au 31 décembre 2018. En présence d'une incapacité de gain entière, il convient dès lors de lui reconnaître le droit à une rente entière du 1er octobre 2018 (six mois après le dépôt de la demande de prestations en avril 2018 et plus d'un an après l'apparition de l'incapacité de travail; cf. art. 28 et 29 LAI) au 31 mars 2019 (délai de 3 mois depuis l'amélioration selon l'art. 88a RAI).</w:t>
      </w:r>
    </w:p>
    <w:p>
      <w:r>
        <w:rPr>
          <w:b/>
        </w:rPr>
        <w:t>E. 8.2</w:t>
      </w:r>
    </w:p>
    <w:p>
      <w:r>
        <w:t>Pour la période commençant le 1er avril 2019, à compter de laquelle le recourant peut désormais travailler entièrement dans une activité adaptée, il convient de procéder à une comparaison des revenus. Dans sa décision, l'OAI fonde le revenu de valide sur le salaire réalisé en 2016 par le recourant selon son extrait de compte individuel, soit CHF 62'531.-. Ce montant doit être adapté à l'évolution des salaires nominaux jusqu'en 2019 (soit CHF 63'648.10, indices de 2239 pour 2016 et 2279 pour 2019, cf. OFS, T39 Evolution des salaires nominaux, des prix à la consommation et des salaires réels, Hommes). Partant, le revenu de valide est fixé à CHF 63'648.10. Pour sa part, en l'absence de revenu effectivement réalisé, le revenu d'invalide doit être basé sur le montant mensuel de CHF 5'417.-, soit CHF 65'004.- annuellement, correspondant au salaire médian du secteur privé selon les chiffres de l'Enquête suisse sur la structure des salaires 2018 (ESS 2018, TA1_Skill level, totaux, niveau de compétences 1, hommes). Dès lors que le TA1, niveau de compétences 1, de l'ESS comprend un large éventail d'activités, on peut, en effet, admettre qu'un nombre significatif d'entre elles est adapté aux limitations et aux aptitudes du recourant sur le marché du travail équilibré (cf. arrêts TF 9C_830/2017 du 16 mars 2018 consid. 5; 8C_381/2017 du 7 août 2017 consid. 4.2.2; 9C_833/2017 du 20 avril 2018 consid. 5.1). La référence au niveau de compétences 1 permet, pour sa part, de tenir compte du fait que le recourant ne possède aucune autre formation ou expérience dans ces domaines,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en 2019 (soit CHF 65'550.50, indices de 2260 pour 2018 et 2279 pour 2019, cf. OFS, T39 Evolution des salaires nominaux, des prix à la consommation et des salaires réels, Hommes) et prendre en compte la durée usuelle du travail de 41.7 heures par semaine en 2019 (CHF 68'336.40, cf. OFS, Durée normale du travail dans les entreprises selon la division économique, Tous les secteurs). Au vu de la capacité de travail de 100% qui a été retenue, le revenu d'invalide est fixé à CHF 68'336.40. Il ne se justifie manifestement pas de tenir compte d'un abattement supplémentaire au titre de désavantage salarial en l'espèce. A cet égard, l'on rappelle que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w:t>
      </w:r>
    </w:p>
    <w:p>
      <w:r>
        <w:t>Tribunal cantonal TC Page 11 de 12</w:t>
      </w:r>
    </w:p>
    <w:p>
      <w:r>
        <w:rPr>
          <w:b/>
        </w:rPr>
        <w:t>E. 8.3</w:t>
      </w:r>
    </w:p>
    <w:p>
      <w:r>
        <w:t>Il ressort de la comparaison des revenus de valide (CHF 63'648.10) et d'invalide (CHF 68'336.40) qu'il n'y a aucune perte de gain. En l'absence de perte de gain depuis le 1er janvier 2019, le recourant ne peut plus se voir reconnaître le droit à une rente à partir du 1er avril 2019. Se référer à la capacité de travail résiduelle de 80% retenue par le Dr J.________ et/ou à un revenu de valide plus élevé – par exemple basé sur la moyenne des différents revenus du recourant entre 2012 et 2016 (soit CHF 68'862.-) plutôt que sur la seule année 2016 – n'aurait pas d'incidence sur le droit à la rente, étant rappelé que la perte de gain doit atteindre au moins 40%.</w:t>
      </w:r>
    </w:p>
    <w:p>
      <w:r>
        <w:rPr>
          <w:b/>
        </w:rPr>
        <w:t>E. 9</w:t>
      </w:r>
    </w:p>
    <w:p>
      <w:r>
        <w:t>Au vu de l'ensemble de ce qui précède, le recours doit être partiellement admis et la décision du 23 avril 2021 modifiée dans le sens où le recourant se voit reconnaître le droit à une rente entière du 1er octobre 2018 au 31 mars 2019. Le recours est rejeté pour le surplus.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100.- (1/8) à la charge de l'autorité intimée et de CHF 700.- (1/8) à la charge du recourant. Ce dernier ayant versé une avance de frais de CHF 800.-, les frais de procédure sont compensés à hauteur de CHF 700.- et le solde de CHF 100.- lui est restitué. Ayant obtenu partiellement gain de cause, le recourant, représenté par une avocate en provenance d'un état membre de l'union européenne (art. 21ss de la loi du 23 juin 2000 sur la libre circulation des avocats, LLCA; RS 935.61), a droit à une indemnité de partie réduite. Celle-ci est fixée ex aequo et bono, tenant compte de l'admission partielle du recours, à CHF 200.-, éventuelle TVA comprise. Ce montant est mis à la charge de l'autorité intimée. (dispositif en page suivante)</w:t>
      </w:r>
    </w:p>
    <w:p>
      <w:r>
        <w:t>Tribunal cantonal TC Page 12 de 12 la Cour arrête : I. Le recours est partiellement admis. Partant, la décision du 23 avril 2021 est modifiée dans le sens où le recourant a droit à une rente entière du 1er octobre 2018 au 31 mars 2019. Le recours est rejeté pour le surplus. II. Les frais de justice, de CHF 800.-, sont mis à raison de CHF 100.- à la charge de l'autorité intimée et de CHF 700.- à la charge du recourant. III. Les CHF 700.- sont compensés par l'avance de frais de CHF 800.- versée par le recourant, le solde de CHF 100.- lui étant restitué. IV. L'indemnité de partie pour le recourant est fixée à CHF 200.-, éventuelle TVA comprise; ce montant est mis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