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96 vom 21. Juli 2020</w:t>
      </w:r>
    </w:p>
    <w:p>
      <w:r>
        <w:t>FR Kantonsgericht, 2020-07-21, FR</w:t>
      </w:r>
    </w:p>
    <w:p>
      <w:r>
        <w:rPr>
          <w:b/>
        </w:rPr>
        <w:t xml:space="preserve">Quelle: </w:t>
      </w:r>
      <w:r>
        <w:t>https://mcp.opencaselaw.ch/entscheid/fr_gerichte_608_2020_96</w:t>
      </w:r>
    </w:p>
    <w:p>
      <w:r>
        <w:t>FR: FR_GERICHTE 608 2020 96 du 21 juillet 2020</w:t>
      </w:r>
    </w:p>
    <w:p>
      <w:r>
        <w:t>IT: FR_GERICHTE 608 2020 96 del 21 luglio 2020</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t>Tribunal cantonal TC Page 3 de 6</w:t>
      </w:r>
    </w:p>
    <w:p>
      <w:r>
        <w:rPr>
          <w:b/>
        </w:rPr>
        <w:t>E. 2.1</w:t>
      </w:r>
    </w:p>
    <w:p>
      <w:r>
        <w:t>Selon l'art. 25 al. 1 de la loi du 6 octobre 2000 sur la partie générale du droit des assurances sociales (LPGA; RS 830.1), applicable par le renvoi de l'art. 1 al. 1 de la loi du</w:t>
      </w:r>
    </w:p>
    <w:p>
      <w:r>
        <w:rPr>
          <w:b/>
        </w:rPr>
        <w:t>E. 2.2</w:t>
      </w:r>
    </w:p>
    <w:p>
      <w:r>
        <w:t>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du 23 septembre 2015 consid. 4; 8C_129/2015 du 13 juillet 2015 consid. 4 et les références citées).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La bonne foi doit ainsi également être écartée lorsque l'assuré ne contrôle pas ou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9C_269/2016 du 21 juin 2016).</w:t>
      </w:r>
    </w:p>
    <w:p>
      <w:r>
        <w:rPr>
          <w:b/>
        </w:rPr>
        <w:t>E. 2.3</w:t>
      </w:r>
    </w:p>
    <w:p>
      <w:r>
        <w:t>Selon le prescrit de l’art. 31 al. 1 LPGA, l’ayant droit, ses proches ou les tiers auxquels une prestation est versée sont tenus de communiquer à l’assureur ou, selon le cas, à l’organe compétent toute modification importante des circonstances déterminantes pour l’octroi d’une</w:t>
      </w:r>
    </w:p>
    <w:p>
      <w:r>
        <w:t>Tribunal cantonal TC Page 4 de 6 prestation. L’art. 24 de l’ordonnance du 15 janvier 1971 sur les prestations complémentaires à l’assurance- vieillesse, survivants et invalidité (OPC-AVS/AI; RS 831.301), précise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3. Est litigieuse la question de savoir si le recourant peut invoquer sa bonne foi malgré le fait qu'il n'a pas annoncé une baisse de loyer dont il a bénéficié à partir du 1er janvier 2018. 3.1. En l’espèce, on constate que la formule de demande de prestations complémentaires contient une rubrique aux termes de laquelle les soussignés s'engagent, dès le jour du dépôt de la requête, à annoncer immédiatement tout changement intervenant dans leur situation économique et personnelle. En signant cette demande, le recourant a donc pris acte de son obligation de renseigner l'organe compétent de toute modification survenue. Il ressort en outre expressément de la requête de prestations du 29 septembre 2015 que le recourant a donné procuration à sa fille afin que celle-ci le représente et reçoive l’original des correspondances et décisions qui lui sont destinées. A l’instar de la Caisse, il y a lieu de relever que le recourant a également signé un document selon lequel il prenait bonne note qu’il ne recevrait aucune correspondance. On ajoute que, dans la lettre du 24 septembre 2015 accompagnant la requête de prestations, la fille a également explicitement confirmé qu’elle représentait son père. Sur cette formule, respectivement son annexe, non seulement l’assuré mais également sa fille ont été explicitement rendus attentifs à leur l’obligation de renseigner, sous peine de courir le risque de devoir restituer des prestations touchées indûment. En effet, la procuration est libellée comme suit : "Par nos signatures nous confirmons avoir pris note du fait que toute modification de la situation personnelle et économique du bénéficiaire de prestations complémentaires ou d’une personne comprise dans le calcul doit être annoncée sans délai à la Caisse de compensation, section prestations, case postale, 1762 Givisiez. A défaut, les prestations complémentaires perçues indûment devront être restituées (voir à ce sujet le paragraphe « Déclaration » en page 4 de la demande/révision de prestations complémentaires)". Il en résulte que non seulement l'assuré, mais également sa fille – en sa qualité de représentante - doivent être de bonne foi pour pouvoir bénéficier de la remise. En effet, les actes et le savoir d’un représentant sont imputables à celui qui se fait représenter (à ce sujet ég. ATF 143 I 284 consid. 1; arrêt TF 2C_282/2020 du 8 mai 2020). 3.2. En ce qui concerne l’assuré lui-même, selon les explications données par sa fille, il apparaît vraisemblable que celui-ci ne s’est pas conformé à cette obligation en raison de son âge avancé et de son état de santé et que, partant, sa bonne foi ne peut pas être niée.</w:t>
      </w:r>
    </w:p>
    <w:p>
      <w:r>
        <w:t>Tribunal cantonal TC Page 5 de 6 En revanche, on doit reprocher à sa fille d'avoir violé ses devoirs en qualité de représentante de l'assuré vis-à-vis de la Caisse. En signant la formule de requête, elle a pris l’engagement de renseigner la Caisse et a, de plus, été dûment informée de l’existence de son devoir y relatif. Partant, il lui incombait – quoi qu’elle en dise - d’annoncer que le loyer de son père avait baissé à partir du 1er janvier 2018. Elle ne peut pas avancer que sa signature sur la procuration signifiait pour elle autre chose que de certifier avoir pris connaissance du texte - très explicite - qui y était contenu. De plus, les décisions comportant la feuille de calcul lui sont parvenues conformément à la procuration. Aussi lui aurait-il été sans autre possible, par un simple contrôle de celles-ci, de découvrir que le loyer pris en compte était erroné. En conclusion, on peut reprocher à la fille de l’assuré une négligence grave, consistant à ne pas avoir annoncé la baisse de loyer ni contrôlé la feuille de calcul, malgré le fait qu'elle a été correctement informée de ses devoirs. Représentante de son père, il lui incombait de se conformer aux obligations en résultant. Dans de telles conditions, on ne saurait la reconnaître de bonne foi au sens de la disposition, au péril sinon de vider de son sens l’institution de la représentation. Que l’intention de la fille de l’assuré n’était pas d’obtenir des prestations d’une manière injustifiée ou qu’elle a donné une autre signification à sa signature sur la procuration ne change rien à ce constat. 4. 4.1. Au vu de ce qui précède, la Caisse était en droit de conclure que la condition de la bonne foi n'était pas remplie et de rejeter la demande de remise de l'obligation de restituer de l'assuré, l'une des deux conditions cumulatives n'étant pas remplie. Partant, le recours, mal fondé, doit être rejeté et la décision sur opposition confirmée. 4.2. Il n'est pas perçu de frais de justice, en vertu du principe de la gratuité prévalant en la matière. (dispositif en page suivante)</w:t>
      </w:r>
    </w:p>
    <w:p>
      <w:r>
        <w:t>Tribunal cantonal TC Page 6 de 6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2020/jfr Le Président : La Greffière-stagiaire :</w:t>
      </w:r>
    </w:p>
    <w:p>
      <w:r>
        <w:rPr>
          <w:b/>
        </w:rPr>
        <w:t>E. 6</w:t>
      </w:r>
    </w:p>
    <w:p>
      <w:r>
        <w:t>octobre 2006 sur les prestations complémentaires à l'assurance-vieillesse, survivants et invalidité (LPC; RS 831.30), les prestations indûment touchées doivent être restituées. La restitution ne peut être exigée lorsque l'intéressé était de bonne foi et qu'elle le mettrait dans une situation difficile. Ces deux conditions matérielles – bonne foi et situation difficile – de l'art. 25 al. 1 seconde phrase LPGA sont cumulatives et leur réalisation est nécessaire pour que la remise de l'obligation de restituer soit accordée (arrêt TF 8C_203/2015 du 23 septembre 2015 consid. 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