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188 vom 19. Juni 2021</w:t>
      </w:r>
    </w:p>
    <w:p>
      <w:r>
        <w:t>FR Kantonsgericht, 2021-06-19, FR</w:t>
      </w:r>
    </w:p>
    <w:p>
      <w:r>
        <w:rPr>
          <w:b/>
        </w:rPr>
        <w:t xml:space="preserve">Quelle: </w:t>
      </w:r>
      <w:r>
        <w:t>https://mcp.opencaselaw.ch/entscheid/fr_gerichte_608_2020_188</w:t>
      </w:r>
    </w:p>
    <w:p>
      <w:r>
        <w:t>FR: FR_GERICHTE 608 2020 188 du 19 juin 2021</w:t>
      </w:r>
    </w:p>
    <w:p>
      <w:r>
        <w:t>IT: FR_GERICHTE 608 2020 188 del 19 giugno 2021</w:t>
      </w:r>
    </w:p>
    <w:p>
      <w:pPr>
        <w:pStyle w:val="Heading2"/>
      </w:pPr>
      <w:r>
        <w:t>Regeste</w:t>
      </w:r>
    </w:p>
    <w:p>
      <w:r>
        <w:t>Arrêt de la IIe Cour des assurances sociales du Tribunal cantonal | Invalidenversicherung</w:t>
      </w:r>
    </w:p>
    <w:p>
      <w:pPr>
        <w:pStyle w:val="Heading2"/>
      </w:pPr>
      <w:r>
        <w:t>Erwägungen</w:t>
      </w:r>
    </w:p>
    <w:p>
      <w:r>
        <w:rPr>
          <w:b/>
        </w:rPr>
        <w:t>E. 1</w:t>
      </w:r>
    </w:p>
    <w:p>
      <w:r>
        <w:t>Déposé en temps utile et dans les formes légales par une assurée directement touchée par la décision attaquée et dûment représentée,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De plus, le droit à la rente prend naissance au plus tôt à l'échéance d'une période de six mois à compter de la date à laquelle l'assuré a fait valoir son droit aux prestations (art. 29 al. 1 LAI).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La méthode dite mixte d'évaluation du taux d'invalidité (art. 28a al. 3 LAI) s'applique lorsque l'assuré exerce à la fois une activité lucrative à temps partiel et s'occupe du ménage ou serait actif dans un</w:t>
      </w:r>
    </w:p>
    <w:p>
      <w:r>
        <w:t>Tribunal cantonal TC Page 4 de 14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L'art. 27bis al. 2 à 4 du règlement du 17 janvier 1961 sur l'assurance-invalidité (RAI; RS 831.201)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w:t>
      </w:r>
    </w:p>
    <w:p>
      <w:r>
        <w:t>Tribunal cantonal TC Page 5 de 14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w:t>
      </w:r>
    </w:p>
    <w:p>
      <w:r>
        <w:t>La recourante se plaint tout d'abord d'un défaut de motivation de la décision querellée et, partant, d'une violation de son droit d'être entendue. Selon elle, celle-ci ne se réfère qu'à l'avis des experts, sans faire mention des rapports des autres médecins et sans expliquer pourquoi l'avis des premiers devrait prévaloir.</w:t>
      </w:r>
    </w:p>
    <w:p>
      <w:r>
        <w:rPr>
          <w:b/>
        </w:rPr>
        <w:t>E. 3.1</w:t>
      </w:r>
    </w:p>
    <w:p>
      <w:r>
        <w:t>D'après l'art. 29 al. 2 de la Constitution fédérale de la Confédération suisse du 18 avril 1999 (Cst.; RS 101) et l'art. 42 1ère phrase LPGA,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p.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w:t>
      </w:r>
    </w:p>
    <w:p>
      <w:r>
        <w:rPr>
          <w:b/>
        </w:rPr>
        <w:t>E. 3.2</w:t>
      </w:r>
    </w:p>
    <w:p>
      <w:r>
        <w:t>De l'avis de la Cour, le fait que la décision litigieuse ne se réfère pas explicitement à tous les avis médicaux en présence n'est pas rédhibitoire. A sa lecture, on comprend en effet que l'OAI a privilégié l'avis des experts pour évaluer la capacité de travail de l'assurée et considéré que ceux, divergents, des médecins traitants ne justifiaient pas de s'en écarter. Dans cette mesure, dite motivation était suffisamment explicite pour permettre à la recourante de saisir la portée et les enjeux de la décision entreprise. Preuve en est qu'elle n'a pas été empêchée de recourir en faisant valoir utilement ses différents moyens. Partant, mal fondé, ce grief doit être rejeté.</w:t>
      </w:r>
    </w:p>
    <w:p>
      <w:r>
        <w:rPr>
          <w:b/>
        </w:rPr>
        <w:t>E. 3.3</w:t>
      </w:r>
    </w:p>
    <w:p>
      <w:r>
        <w:t>On relèvera en outre que même si une violation (légère) dudit droit devait être admise, il n'y aurait malgré tout pas lieu de renvoyer la cause à l'autorité intimée, dès lors que la recourante disposait de tous les éléments pour se prononcer en connaissance de cause. Par ailleurs, la guérison du vice constaté ne provoque aucun désavantage pour celle-ci, puisqu'elle a pu recourir et que la détermination de l'OAI lui a été transmise. Or, compte tenu de sa prise de position, il ne fait aucun doute que si l'autorité intimée devait statuer à nouveau, elle confirmerait la décision</w:t>
      </w:r>
    </w:p>
    <w:p>
      <w:r>
        <w:t>Tribunal cantonal TC Page 6 de 14 entreprise. Pour des raisons d'économie de procédure, il n'y a dès lors pas lieu de lui renvoyer l'affaire.</w:t>
      </w:r>
    </w:p>
    <w:p>
      <w:r>
        <w:rPr>
          <w:b/>
        </w:rPr>
        <w:t>E. 4</w:t>
      </w:r>
    </w:p>
    <w:p>
      <w:r>
        <w:t>Sur le fond, la recourante ne remet pas en cause l'application de la méthode mixte d'évaluation de l'invalidité, avec une répartition de 90% pour l'activité lucrative et 10% pour l'activité ménagère. Elle conteste en revanche l'évaluation de sa capacité de travail dans la partie lucrative, laquelle repose essentiellement sur les rapports d'expertise bidisciplinaire des experts D.________ et E.________. Il convient de se référer au dossier médical.</w:t>
      </w:r>
    </w:p>
    <w:p>
      <w:r>
        <w:rPr>
          <w:b/>
        </w:rPr>
        <w:t>E. 4.1</w:t>
      </w:r>
    </w:p>
    <w:p>
      <w:r>
        <w:t>Dans un rapport du 12 septembre 2018 (dossier AI p. 98), le Dr C.________, spécialiste en neurochirurgie traitant, prend position au terme du séjour hospitalier au cours duquel l'assurée a subi une opération de correction de l'équilibre sagittal et du listhésis avec laminectomie de L5, discectomie de L5-S1 complète, spondylodèse de L5-S1 avec vis et cage: "Les suites postopératoires sont simples et afébriles, la patiente se mobilise progressivement et les douleurs sont d'abord soulagées par un cathéter sous facial, puis bien maîtrisées avec un traitement minimal. Les radiographies de contrôle montrent une bonne correction de la cyphose segmentaire, du listhésis et un bon emplacement des cages et vis". Selon lui, il est toutefois trop tôt pour se prononcer sur les activités professionnelles et l'incapacité de travail se poursuit. Le 11 décembre 2018 (dossier AI p. 227), ce même Dr C.________ annonce que "la patiente a tenté une reprise du travail à 50% qui ne s'est pas très bien déroulée, elle a de nouveau plus de douleurs et de limitations fonctionnelles avec en particulier des douleurs dans les points d'insertion fessiers et la sacro-iliaque gauche. Les radiographies montrent un matériel qui est resté bien en place, il n'y a pas de déplacement secondaire. J'ai remis la patiente en arrêt de travail, entre-temps elle a également reçu son licenciement. Au vu de l'évolution, je pense que son métier d'aide-soignante va être difficile à reprendre, je demande à l'AI de réactiver son dossier. Je ne suis pas sûr que cette patiente puisse être réinsérée compte tenu de tous les diagnostics". Le 14 janvier 2019 (dossier AI p. 231), il ajoute qu'elle ne pourra certainement pas reprendre une activité professionnelle, sans autre précision. Dans un rapport du 21 juin 2019 (dossier AI p. 237), le Dr G.________, spécialiste en médecine interne générale auprès du SMR, note que le dossier est insuffisant pour statuer et qu'il est nécessaire de poursuivre l'instruction sous l'angle rhumatologique. Constatant en outre que l'assurée présenterait une maladie de Steinert, sans savoir si elle en est uniquement porteuse ou s'il s'agit d'une forme active de cette maladie, il recommande un complément d'instruction sous l'angle de la médecine interne. Le Dr D.________, spécialiste en médecine interne, a remis son rapport d'expertise le 4 novembre 2019 (dossier AI p. 291). Après avoir posé le contexte entourant l'expertise, il présente les documents médicaux à sa disposition, puis le résultat de son entretien avec l'assurée, au cours duquel il a recueilli ses plaintes et établi son anamnèse. Après avoir exposé ses constatations, sur la base de l'entretien et des documents à sa disposition, l'expert retient toute une série de diagnostics, mais s'attarde en particulier sur celui de maladie de Steinert. Procédant à l'évaluation du dossier, il constate que, suite à l'intervention chirurgicale de 2018, l'assurée "se plaint toujours de lombalgies, d'intolérance aux efforts, au port de charges, aux longues positions debout. S'agissant de la maladie de Steinert, [elle] considère qu'elle est asymptomatique. Ceci semble confirmé par l'examen neurologique avec électromyogramme effectué le 03.09.2019 par le Docteur</w:t>
      </w:r>
    </w:p>
    <w:p>
      <w:r>
        <w:t>Tribunal cantonal TC Page 7 de 14 H.________ qui ne trouve pas d'argument évocateur d'une pathologie musculaire. Outre la calvitie frontale, nous trouvons tout de même une hypotrophie de la musculature temporale. Actuellement, il n'y a aucun signe de myotonie franche. L’hypotrophie de la jambe gauche semble être probablement séquellaire au syndrome radiculaire lombaire. Il n'y a pas non plus d'atteinte faciale et bulbaire. On ne trouve pas de signe d'atteinte du système nerveux central (hypersomnie, hypoacousie). Sur le plan endocrinien, il n'y a actuellement pas d'atteinte. […] Dans l'ensemble nous avons l'impression qu'il s'agit d'une forme relativement peu symptomatique de dystrophie myotonique de type l, en dehors de l'atteinte cardiaque et pulmonaire. L’atteinte cardiaque, sous forme de troubles de la conduction, est probablement sous contrôle, mais le risque de mort subite (pour des raisons peu connues) reste légèrement élevé malgré la mise en place d'un pacemaker. Quant à l'atteinte respiratoire, l'hypoxémie décelée est encore légère, mais il n'est pas possible de prévoir l'évolution qui est extrêmement variable d'un cas à l'autre. L'insuffisance respiratoire par atteinte myopathique et myotonique peut parfois exiger une assistance ventilatoire et limiter l'espérance de vie. Le syndrome des apnées obstructives du sommeil évolue favorablement sous CPAP, sans hypersomnie". Au terme de son rapport, l'expert retient une capacité de travail de 60% dans l'activité exercée précédemment: "Il est possible d'admettre cette limitation en raison de l'hypoxémie, de la BPCO et du syndrome restrictif depuis sa découverte, soit depuis 07.2018". Il considère en revanche qu'"une activité peu exigeante physiquement, sans port de charge, plus ou moins sédentaire, permettrait une activité à plein temps, sans perte de rendement". Finalement, l'expert considère que les atteintes précitées n'ont pas d'impact significatif sur l'exercice des tâches ménagères, l'assurée parvenant à les accomplir moyennant certaines adaptations et pouvant au besoin bénéficier de l'aide des proches. Pour sa part, le Dr E.________, spécialiste en rhumatologie, a livré son rapport d'expertise le</w:t>
      </w:r>
    </w:p>
    <w:p>
      <w:r>
        <w:rPr>
          <w:b/>
        </w:rPr>
        <w:t>E. 4.2</w:t>
      </w:r>
    </w:p>
    <w:p>
      <w:r>
        <w:t>Dans le cadre des objections au projet de décision de l'OAI, la recourante a déposé différents documents médicaux. Tout d'abord un certificat établi le 30 décembre 2019 (dossier AI p. 394) par le Dr I.________, généraliste traitant, attestant d'une incapacité totale de travail du 13 décembre 2017 au 13 décembre 2019, puis d'une incapacité de travail de 80%, probablement durable, dès le 14 décembre 2018, dans une activité adaptée (travail en position assise sans port de charge). Dans une attestation datée du 1er mai 2020, ce même Dr I.________ atteste que sa patiente "a reçu un diagnostic de maladie de Steinert en 1991 à la consultation de neurologie du CHUV dirigée par le Pr J.________. Ce diagnostic a été retenu suite à une analyse génétique". Ensuite, un rapport établi le 3 septembre 2019 (dossier AI p. 397) par le Dr H.________, spécialiste en neurologie, lequel pose le diagnostic de polyneuropathie d'origine indéterminée: "L'EMG confirme votre diagnostic et montre une polyneuropathie à prédominance axonale. En effet, l'EMG est altéré de façon nette. Il convient toutefois de prendre en compte le problème lombaire qui certainement aggrave la situation. Je n'ai en revanche pas découvert de signe évocateur d'une pathologie musculaire". Un rapport établi le 5 juillet 2017 (dossier AI p. 398) par le Dr K.________, également spécialiste en neurologie, conclut à une neurographie normale, sans évidence pour un tunnel tarsien, mais à une myographie anormale, très évocatrice d'une maladie de Steinert. S'agissant tout d'abord des troubles de la sensibilité ressentis au pied gauche, il les attribue à une lésion du rameau cutané dorsal du pied, d'origine compressive (chaussure) et probablement favorisé par un œdème lié à l'arthrite. "Je lui ai donné les conseils d'usage et l'on peut s'attendre à une évolution favorable ces prochaines semaines/mois". S'agissant de la maladie de Steinert, elle "est restée quasiment asymptomatique et le status neurologique très peu perturbé […]. Ce profil évolutif, sur maintenant presque une trentaine d'années, est bien sûr rassurant. Je l'ai expliqué à A.________". Par ailleurs, différents rapports plus anciens, datant des années 1990, étaient également joints aux objections de l'assurée. Ils ont principalement trait à la découverte de la maladie de Steinert. Enfin, la recourante a remis un rapport établi le 11 juin 2020 par la Dre F.________, spécialiste en rhumatologie (dossier AI p. 429), au terme d'une longue liste de diagnostics, parmi lesquels une arthrite psoriasique, une déformation de l'avant-pied, des polyarthroses, un syndrome lombo- spondylogène et une maladie de Steinert. Regrettant ne pas avoir été invitée à compléter un rapport de l'AI, elle relève ce qui suit: "Die Patientin leidet unter diversen und sehr unterschiedlichen einschränkenden Erkrankungen. Ich betreue sie aufgrund einer in 06/19 diagnostizierten</w:t>
      </w:r>
    </w:p>
    <w:p>
      <w:r>
        <w:t>Tribunal cantonal TC Page 9 de 14 Psoriasisarthritis. Zuletzt stellte sich die Patientin mit einem entzündlichen Schub vor, so dass die Basistherapie angepasst werden musste, der Verlauf ist noch ungewiss. Zudem liegen Polyarthrosen vor, eine LWS-Operation fand 09/18 statt. Es bestehen Vorfussdeformitäten mit Hammerzehen, welche beim Stehen und Laufen sehr schmerzhaft sind. Hr. Dr. L.________ hat 02/20 die Indikation zur Operation gestellt. Die Patientin ist im Haushalt eingeschränkt. Sie bekommt Hilfe vom Ehemann. Den Haushalt kann sie max. 30min am Stück verrichten. Sitzen geht max. 1 Std., Gehen 30min., Stehen 15min. Am schmerzhaftesten sind die Füsse und die LWS. Ich würde Sie daher um Revision der IV-Entscheidung bitten".</w:t>
      </w:r>
    </w:p>
    <w:p>
      <w:r>
        <w:rPr>
          <w:b/>
        </w:rPr>
        <w:t>E. 4.3</w:t>
      </w:r>
    </w:p>
    <w:p>
      <w:r>
        <w:t>Appelée à statuer, la Cour de céans considère que l'expertise bidisciplinaire réalisée par le Dr D.________ et par le Dr E.________ répond aux réquisits jurisprudentiels en la matière. Elle a été effectuée en pleine connaissance du dossier et sur la base d'examens complets. Les experts ont pris en considération les plaintes exprimées par l'assurée et les points litigieux ont été discutés. Le contexte médical est clairement décrit et les conclusions sont dûment motivées. En substance, les experts confirment d'une part l'existence d'une maladie de Steinert, présente de longue date, mais demeurant relativement asymptomatique. L'interniste relève l'existence d'une composante cardiaque et pulmonaire, qui a justifié la pose d'un pacemaker et l'utilisation d'un appareillage contre les apnées du sommeil, mais considère toutefois que cette atteinte génétique demeure sans conséquence notable. De son côté, le rhumatologue signale la présence d'un syndrome Iombovertébral sans signe radiculaire irritatif ou déficitaire, dans un contexte de surcharge pondérale et de diminution de la sensibilité profonde; il mentionne également des troubles statiques modérés au niveau des pieds et probablement un déconditionnement de la musculature profonde de la charnière Iombo-sacrée. Des signes de polyarthrose aux mains sont aussi évoqués. Ces explications sont globalement concordantes avec le contenu du dossier et permettent donc, a priori, de conférer une pleine valeur probante à ce rapport.</w:t>
      </w:r>
    </w:p>
    <w:p>
      <w:r>
        <w:rPr>
          <w:b/>
        </w:rPr>
        <w:t>E. 4.4</w:t>
      </w:r>
    </w:p>
    <w:p>
      <w:r>
        <w:t>La recourante émet différents reproches à l'encontre de cette expertise, qu'il convient d'examiner. Elle critique tout d'abord le fait que les experts se sont "exclusivement focalisés sur [ses] problèmes de dos (…), se bornant pour le reste à relever l'existence d’une maladie de Steinert mais sans chercher à investiguer davantage cet aspect de la situation". Selon elle, "si la maladie de Steinert dont [elle] souffre(…) est restée relativement asymptomatique durant de nombreuses années, force est de constater qu'à 52 ans, les symptômes s‘aggravent. C’est d’ailleurs dans cette tranche d'âge que les membres de sa famille ont vu leurs propres symptômes s’amplifier". Ce grief n'est pas pertinent: les experts se sont en effet prononcés de façon détaillée sur ce diagnostic. En particulier, le Dr D.________ y a porté une attention toute particulière, en se déterminant de manière précise et nuancée à cet égard. En dépit du fait que la maladie demeure relativement peu active, celui-ci n'a pas manqué d'en évoquer différents symptômes, notamment au niveau cardiologique et pulmonaire, et les risques qui sont susceptibles, à terme, d'apparaître. Cela étant, le constat global demeure, pour l'heure, pleinement rassurant; d'autant plus qu'il n'est pas fondamentalement remis en cause par les rapports déposés à l'appui des objections, respectivement du recours. Le premier rapport du généraliste traitant se borne en effet à attester d'une incapacité de travail de 80%, sans réellement la motiver; dans le second, il évoque le diagnostic de maladie de Steinert posé en 1991, suite à une analyse génétique, ce qui ne permet nullement de conclure que ledit diagnostic</w:t>
      </w:r>
    </w:p>
    <w:p>
      <w:r>
        <w:t>Tribunal cantonal TC Page 10 de 14 puisse désormais influencer de façon prépondérante la capacité de travail de sa patiente. Ce d'autant que les autres rapports à disposition ne vont clairement pas dans ce sens. Ainsi, le rapport du neurologue K.________, établi en juillet 2017, est très rassurant à cet égard, puisqu'il mentionne une maladie de Steinert "restée quasiment asymptomatique et le status neurologique très peu perturbé […]. Ce profil évolutif, sur maintenant presque une trentaine d'années, est bien sûr rassurant". Quant au rapport du neurologue H.________ établi en septembre 2019, il pose certes un diagnostic de polyneuropathie d'origine indéterminée, tout en précisant que le problème lombaire (rhumatologique) est susceptible d'influencer la situation. Il écarte en revanche tout "signe évocateur d'une pathologie musculaire", confirmant dès lors une situation stable s'agissant de l'atteinte génétique. Au demeurant, il ne se prononce pas au sujet de la capacité de travail de l'assurée. Finalement, dans son rapport établi en juin 2020, la rhumatologue F.________ insiste sur la multiplicité des atteintes dont souffre l'assurée (Psoriasisarthritis, Polyarthrosen, Vorfussdeformitäten mit Hammerzehen) et sur l'impact que ces dernières ont sur sa capacité à tenir son ménage. Elle ne se prononce en revanche pas sur la capacité de travail de sa patiente, notamment dans une activité adaptée. Globalement, cet avis est insuffisamment motivé pour justifier de s'écarter des conclusions, détaillées et concluantes, fournies par les experts. En outre, le reproche que ces derniers se soient principalement basés sur les constatations découlant d'un unique entretien ne justifie nullement de s'écarter de leur avis au profit de celui d'un autre médecin. Une telle manière de faire est tout à fait habituelle dans le contexte d'une expertise médicale mandatée par l'OAI. S'agissant de la durée des entretiens en question, de l'ordre de 3 heures pour la médecine interne et de 4 heures pour la rhumatologie, elle est habituelle. Il convient d'ajouter que la durée de l'expertise n'est en soi pas un critère déterminant pour juger de sa valeur probante (cf. arrêt TF 9C_170/2009 du 6 mai 2009 consid. 2.2 et les références citées). Quoi qu'en dise la recourante, l'expertise bidisciplinaire litigieuse permet donc d'avoir une vision globale et convaincante de sa situation. Elle tient raisonnablement compte des différentes atteintes dont elle souffre et on ne saurait faire le reproche aux experts d'avoir omis l'un ou l'autre élément important pour juger de son état de santé et de sa capacité de travail. Quant à l'allégation selon laquelle une expertise psychiatrique aurait dû être réalisée, elle est sans fondement. La référence faite par la recourante au chiffre 4.3.2 de l'expertise du Dr E.________ n'est pas déterminante à cet égard; en effet, n'y figure que la mention "Constatations psychiatriques - Se référer à l’expertise psychiatrique". On ne saurait tirer de cette brève remarque la nécessité d'effectuer un examen complémentaire en ce domaine. Ce d'autant moins que la recourante n'a pas émis de plainte particulière à cet égard et qu'aucun suivi médical spécialisé n'est attesté. Cette conclusion s'impose d'autant plus que celle-ci n'a élevé aucune protestation quant au choix des disciplines lors de la mise sur pied de l'expertise. Elle est donc malvenue de remettre en cause ce point uniquement dans le cadre de la procédure de recours.</w:t>
      </w:r>
    </w:p>
    <w:p>
      <w:r>
        <w:rPr>
          <w:b/>
        </w:rPr>
        <w:t>E. 4.5</w:t>
      </w:r>
    </w:p>
    <w:p>
      <w:r>
        <w:t>En définitive, l'OAI était donc fondé à se référer aux conclusions des experts et à retenir que l'assurée présente encore une pleine capacité de travail dans une activité adaptée à ses limitations fonctionnelles. Il convient encore d'examiner le calcul du taux d'invalidité opéré par l'OAI.</w:t>
      </w:r>
    </w:p>
    <w:p>
      <w:r>
        <w:rPr>
          <w:b/>
        </w:rPr>
        <w:t>E. 5</w:t>
      </w:r>
    </w:p>
    <w:p>
      <w:r>
        <w:t>La recourante ne conteste pas formellement les montants retenus par l'autorité intimée (revenus de valide et d'invalide). Le résultat obtenu pour la partie professionnelle (7%) peut donc être avalisé par</w:t>
      </w:r>
    </w:p>
    <w:p>
      <w:r>
        <w:t>Tribunal cantonal TC Page 11 de 14 la Cour de céans. S'agissant de la partie ménagère, elle fait en revanche grief à l'OAI de ne pas avoir procédé à une enquête ménagère à domicile et invoque être passablement entravée dans ce type d'activité, renvoyant à cet égard aux rapports médicaux qu'elle a produits.</w:t>
      </w:r>
    </w:p>
    <w:p>
      <w:r>
        <w:rPr>
          <w:b/>
        </w:rPr>
        <w:t>E. 5.1</w:t>
      </w:r>
    </w:p>
    <w:p>
      <w:r>
        <w:t>L’art. 69 al. 2 RAI prévoit, comme mesure d’instruction, la possibilité pour l’autorité de réaliser une visite domiciliaire. Tel est le cas, notamment, lorsqu’il s’agit d’assurés qui s’occupent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w:t>
      </w:r>
    </w:p>
    <w:p>
      <w:r>
        <w:rPr>
          <w:b/>
        </w:rPr>
        <w:t>E. 5.2</w:t>
      </w:r>
    </w:p>
    <w:p>
      <w:r>
        <w:t>Dans sa décision, l'OAI a justifié sa renonciation à réaliser une telle enquête en ces termes: "Au vu de la situation, nous renonçons toutefois à effectuer une enquête ménagère à votre domicile étant donné que vous ne subissez aucun empêchement notoire dans le cadre des activités ménagères". La recourante renvoie pour sa part aux rapports de ses médecins traitants ainsi qu'aux deux expertises, qui démontrent l'existence de difficultés dans l'exécution desdites tâches et de l'aide dont elle a besoin pour y parvenir. De l'avis de la Cour de céans, l'argumentation fournie par l'OAI est insuffisante et la décision aurait mérité d'être mieux motivée sur ce point. Les experts indiquent certes que l'assurée parvient encore à gérer son ménage, avec l'aide de ses proches, sans que ne ressortent d'empêchements particuliers. Cela étant, ces constatations, basées avant tout sur l'anamnèse, semblent plutôt générales et l'on peut douter qu'elles puissent se substituer à une enquête ménagère à domicile, laquelle comporte une évaluation détaillée dans les différents types d'activités quotidiennes (cf. supra consid. 5.1).</w:t>
      </w:r>
    </w:p>
    <w:p>
      <w:r>
        <w:rPr>
          <w:b/>
        </w:rPr>
        <w:t>E. 5.3</w:t>
      </w:r>
    </w:p>
    <w:p>
      <w:r>
        <w:t>Bien qu'un renvoi à l'OAI serait en principe indiqué aux fins de réaliser cette enquête, la Cour estime malgré tout qu'il ne se justifie pas en l'espèce. Compte tenu de la part très restreinte (10%)</w:t>
      </w:r>
    </w:p>
    <w:p>
      <w:r>
        <w:t>Tribunal cantonal TC Page 12 de 14 que représente l'activité ménagère dans le calcul de l'invalidité, l'existence d'empêchements, même substantiels, n'influencerait en effet que marginalement le calcul du taux d'invalidité et ne pourrait de toute manière pas conduire à l'obtention d'une quelconque rente (cf. infra consid. 6.3).</w:t>
      </w:r>
    </w:p>
    <w:p>
      <w:r>
        <w:rPr>
          <w:b/>
        </w:rPr>
        <w:t>E. 6</w:t>
      </w:r>
    </w:p>
    <w:p>
      <w:r>
        <w:t>Finalement, la recourante a demandé qu'un abattement sur le salaire statistique de 25% lui soit accordé. Elle a invoqué à cet égard les limitations liées à son handicap, son âge, son absence de formation ainsi que son absence du marché du travail depuis plusieurs années, entravant ses facultés d'adaptation.</w:t>
      </w:r>
    </w:p>
    <w:p>
      <w:r>
        <w:rPr>
          <w:b/>
        </w:rPr>
        <w:t>E. 6.1</w:t>
      </w:r>
    </w:p>
    <w:p>
      <w:r>
        <w:t>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consid. 3.3).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 du</w:t>
      </w:r>
    </w:p>
    <w:p>
      <w:r>
        <w:rPr>
          <w:b/>
        </w:rPr>
        <w:t>E. 6.2</w:t>
      </w:r>
    </w:p>
    <w:p>
      <w:r>
        <w:t>En l'espèce, l'assurée dispose d'un bon profil sur le marché de l'emploi, puisqu'elle est suisse, de langue maternelle française et a œuvré auprès de différents employeurs au cours de sa carrière, témoignant ainsi d'une certaine flexibilité professionnelle; elle est en outre en mesure de travailler à plein temps. L'absence de formation professionnelle ne devrait pas être de nature à compromettre une réintégration sur le marché du travail, si l'on tient compte du fait que l'activité envisagée n'en nécessite en principe pas. Enfin, l'âge de l'assurée (53 ans au moment de l'expertise) pourrait certes constituer un frein à l'embauche mais ne justifie pas, à lui seul, l'application d'une réduction supplémentaire sur le salaire statistique. Quant à l'éloignement du marché du travail, d'environ 2 à 3 ans, il n'est pas d'une durée telle qu'il compromettrait d'emblée tout retour en emploi, d'autant moins dans des activités ne requérant pas de qualifications particulières. La Cour de céans considère dès lors que, compte tenu du type d'activités encore exigible (industrie légère ou services), l'octroi d'un abattement n'est pas raisonnablement admissible, en tous les cas pas à 25% comme requis par la recourante. Tout au plus pourrait-on envisager une réduction de 10%, laquelle ne modifierait toutefois pas le résultat final. En effet, le revenu d'invalide se monterait dès lors à CHF 49'319.80 ce qui, comparé avec un revenu de valide de CHF 59'697.45, ferait passer le degré d'invalidité professionnel à 17.38%, toujours largement insuffisant pour donner droit à une rente.</w:t>
      </w:r>
    </w:p>
    <w:p>
      <w:r>
        <w:rPr>
          <w:b/>
        </w:rPr>
        <w:t>E. 6.3</w:t>
      </w:r>
    </w:p>
    <w:p>
      <w:r>
        <w:t>Dans ce contexte, et comme indiqué plus haut (consid. 5.3), même en admettant une incapacité de 50% dans les activités ménagères, ce qui serait déjà extrêmement généreux sur la base des éléments figurant au dossier, le taux d'invalidité ménagère s'élèverait à 5%. Le degré d'invalidité global se monterait donc à 22.38% (17.38% + 5%), toujours largement insuffisant pour ouvrir le droit à une rente d'invalidité. 7. Au vu de ce qui précède, le recours est rejeté et la décision attaquée confirmée. La procédure n'étant pas gratuite, les frais de justice sont fixés à CHF 800.- et mis à la charge de la recourante qui succombe. Ils sont compensés par l'avance de frais versée le 7 octobre 2020. Pour les mêmes motifs, l'assurée n'a pas droit à des dépens. (dispositif en page suivante)</w:t>
      </w:r>
    </w:p>
    <w:p>
      <w:r>
        <w:t>Tribunal cantonal TC Page 14 de 14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juin 2021/mba Le Président : Le Greffier-rapporteur :</w:t>
      </w:r>
    </w:p>
    <w:p>
      <w:r>
        <w:rPr>
          <w:b/>
        </w:rPr>
        <w:t>E. 11</w:t>
      </w:r>
    </w:p>
    <w:p>
      <w:r>
        <w:t>janvier 2012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Lorsqu'il s'agit d'évaluer l'invalidité d'un assuré qui se trouve proche de l'âge donnant droit à la rente de vieillesse, il faut procéder à une analyse globale de la situation et se demander si, de manière réaliste, cet assuré est (ou était) en mesure</w:t>
      </w:r>
    </w:p>
    <w:p>
      <w:r>
        <w:t>Tribunal cantonal TC Page 13 de 14 de retrouver un emploi sur un marché équilibré du travail (arrêt TF 9C_437/2008 du 19 mars 2009 consid. 4.2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