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184 vom 25. März 2021</w:t>
      </w:r>
    </w:p>
    <w:p>
      <w:r>
        <w:t>FR Kantonsgericht, 2021-03-25, FR</w:t>
      </w:r>
    </w:p>
    <w:p>
      <w:r>
        <w:rPr>
          <w:b/>
        </w:rPr>
        <w:t xml:space="preserve">Quelle: </w:t>
      </w:r>
      <w:r>
        <w:t>https://mcp.opencaselaw.ch/entscheid/fr_gerichte_608_2020_184</w:t>
      </w:r>
    </w:p>
    <w:p>
      <w:r>
        <w:t>FR: FR_GERICHTE 608 2020 184 du 25 mars 2021</w:t>
      </w:r>
    </w:p>
    <w:p>
      <w:r>
        <w:t>IT: FR_GERICHTE 608 2020 184 del 25 marzo 2021</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dûment représenté et directement touché par la décision attaquée, le recours est recevable.</w:t>
      </w:r>
    </w:p>
    <w:p>
      <w:r>
        <w:rPr>
          <w:b/>
        </w:rPr>
        <w:t>E. 2.1</w:t>
      </w:r>
    </w:p>
    <w:p>
      <w:r>
        <w:t>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(au sens de l'art. 17 de la loi du 6 octobre 2000 sur la partie générale du droit des assurances sociales, LPGA; RS 830.1)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(cf.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w:t>
      </w:r>
    </w:p>
    <w:p>
      <w:r>
        <w:t>Tribunal cantonal TC Page 4 de 7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w:t>
      </w:r>
    </w:p>
    <w:p>
      <w:r>
        <w:rPr>
          <w:b/>
        </w:rPr>
        <w:t>E. 2.2</w:t>
      </w:r>
    </w:p>
    <w:p>
      <w:r>
        <w:t>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 entrée en force, reposant sur un examen matériel du droit la prestation d'assurance (cf. ATF 130 V 71 consid. 3.2.3; 133 V 108 consid. 5.3).</w:t>
      </w:r>
    </w:p>
    <w:p>
      <w:r>
        <w:rPr>
          <w:b/>
        </w:rPr>
        <w:t>E. 2.3</w:t>
      </w:r>
    </w:p>
    <w:p>
      <w:r>
        <w:t>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w:t>
      </w:r>
    </w:p>
    <w:p>
      <w:r>
        <w:rPr>
          <w:b/>
        </w:rPr>
        <w:t>E. 3</w:t>
      </w:r>
    </w:p>
    <w:p>
      <w:r>
        <w:t>En l'espèce, doit être ici examiné si l'OAI était fondé à se refuser à entrer en matière sur la nouvelle demande, faute pour l'assuré d'avoir rendu plausible une aggravation déterminante de son état de santé.</w:t>
      </w:r>
    </w:p>
    <w:p>
      <w:r>
        <w:rPr>
          <w:b/>
        </w:rPr>
        <w:t>E. 3.1</w:t>
      </w:r>
    </w:p>
    <w:p>
      <w:r>
        <w:t>La décision de l'OAI du 22 octobre 2018 (dos. OAI 112), entrée en force, reposait sur un examen matériel du droit de l'assuré à des prestations de l'AI. Parmi les pièces prises en compte figurait un rapport d'expertise de chirurgie orthopédique requise par l'assureur perte de gain, du</w:t>
      </w:r>
    </w:p>
    <w:p>
      <w:r>
        <w:t>Tribunal cantonal TC Page 5 de 7 13 août 2018 (dos. OAI 72), dans laquelle avaient été examinés notamment les membres inférieurs et le rachis. L'OAI avait retenu que si l'activité de maçon n'était plus tout à fait adaptée, une autre activité était exigible à plein temps, moyennant le respect des limitations fonctionnelles suivantes: pas d'activité nécessitant de la marche prolongée, pas de position debout prolongée, pas de port de charges de plus de 10kg, pas de position en porte-à-faux dorsolombaire et pas de positions agenouillées prolongées. Il était considéré que l'assuré pouvait par exemple exercer une activité d'ouvrier dans la production industrielle légère ou les services, telle que le montage à l’établi, le contrôle de produits finis, la conduite de machines semi-automatiques, l’usinage de pièces légères ou le conditionnement léger.</w:t>
      </w:r>
    </w:p>
    <w:p>
      <w:r>
        <w:rPr>
          <w:b/>
        </w:rPr>
        <w:t>E. 3.2</w:t>
      </w:r>
    </w:p>
    <w:p>
      <w:r>
        <w:t>Les seules pièces médicales produites par l'assuré dans le cadre de sa nouvelle demande de prestations jusqu'à la décision attaquée sont les suivantes: - Le 19 juin 2019 (dos. OAI 163; indication d'une consultation ce jour-là), le Dr B.________, chirurgie orthopédique, adresse au généraliste traitant de l'assuré un résumé de sa prise en charge de 2018. Il indique que les deux aspects qu'il avait traités, soit un kyste de Baker au niveau du genou droit et des fasciites plantaires, n'avaient plus posé de problèmes; le suivi avait ainsi été achevé fin 2018. Aucune infiltration n'avait été faite, au vu de la peur du patient des aiguilles. L'assuré avait indiqué être suivi auprès du généraliste traitant pour des dorso-lombalgies chroniques, et qu'en cas de l'échec du traitement conservateur, il serait peut-être adressé chez un neurochirurgien. Le Dr B.________ a précisé au patient qu'il restait à sa disposition en cas de réapparition de difficultés aux genoux ou talons. - Dans un courriel du 7 juillet 2020 (dos. OAI 169), le Dr C.________, chef de clinique adjoint en rhumatologie, indique à la mandataire avoir rencontré pour la première fois le patient au mois de mai 2020 et le revoir en consultation le 15 juillet 2020, afin de discuter des investigations réalisées et de l‘efficacité de la thérapie proposée. Ceci devrait l'orienter quant à un éventuel diagnostic, ou tout du moins une problématique. Il indique qu'il écrira à la mandataire suite à cette consultation seulement, afin de la renseigner au mieux sur son état, ce qu'il lui est difficile de faire pour le moment.</w:t>
      </w:r>
    </w:p>
    <w:p>
      <w:r>
        <w:rPr>
          <w:b/>
        </w:rPr>
        <w:t>E. 3.3</w:t>
      </w:r>
    </w:p>
    <w:p>
      <w:r>
        <w:t>Pour la Cour, il est manifeste que ce courrier et ce courriel ne rendent pas plausibles une péjoration déterminante au sens de l'assurance-invalidité de l'état de santé de l'assuré par rapport à la situation prise en compte dans la procédure précédente, qui s'est achevée par la décision du 22 octobre 2018, entrée en force. Ce d'autant moins que le Dr B.________ (et l'assuré aussi) a bien spécifié y relater uniquement son suivi de 2018, d'une part, et que tant ce suivi que les problèmes qu'il a traités, selon lui avec succès, ont été dûment appréciés, parmi d'autres, lors de la première demande de prestations (cf. le dos. OAI, et notamment l'expertise y figurant), d'autre part. Quant au suivi que mentionne le Dr C.________, hormis qu'il paraît concerner la rhumatologie, le contenu de son courriel ne permet pas non plus, en tout état de cause, de retenir cette plausibilité d'une péjoration de l'état de santé; étant souligné au surplus qu'une problématique rachidienne avait, entre autres, été appréciée lors de la première demande de prestations (cf. notamment le rapport d'expertise). La Cour relève que si une demande de consultation du dossier a été faite par un centre de psychiatrie et psychothérapie, le 7 février 2020, sans autre précision que le nom d'une psychologue suivant l'assuré, que l'OAI y a déféré le 10 du même mois, et que la mandataire a demandé des renseignements au psychiatre traitant le 8 mai 2020 (cf. dos. OAI 118, 121 et 156), ces seuls</w:t>
      </w:r>
    </w:p>
    <w:p>
      <w:r>
        <w:t>Tribunal cantonal TC Page 6 de 7 éléments, même joints à la mention dans la nouvelle demande d'une dépression aigüe, ne sauraient aucunement suffire à fonder une péjoration de l'état de santé qui devait amener l'OAI à entrer en matière sur la nouvelle demande.</w:t>
      </w:r>
    </w:p>
    <w:p>
      <w:r>
        <w:rPr>
          <w:b/>
        </w:rPr>
        <w:t>E. 3.4</w:t>
      </w:r>
    </w:p>
    <w:p>
      <w:r>
        <w:t>Contrairement à ce que soutient le recourant, il n'appartenait pas à l'OAI de procéder à des mesures d'instruction supplémentaires avant de rendre sa décision, en vertu de ce que rappelé au considérant 2. C'est en effet sur la base des pièces en sa possession lorsqu'elle statue que l'autorité intimée doit examiner si une aggravation de l'état de santé a été rendue plausible. Ce n'est que dans l'affirmative que l'OAI instruit ensuite la demande. Comme cela ressortait du projet de décision du 27 mars 2020 (cf. dos. OAI 144), il revenait ainsi à l'assuré de produire devant l'OAI tout document (médical) utile rendant plausible la péjoration déterminante de sa santé, ce qu'il n'a pas fait. La Cour retient en outre qu'il n'en a pas été empêché, même eu égard à la situation sanitaire: l'OAI a d'abord fait application de l'ordonnance du 20 mars 2020 sur la suspension des délais dans les procédures civiles et administratives pour assurer le maintien de la justice en lien avec le coronavirus (COVID- 19; RS 173.110.4), prévoyant une suspension des délais jusqu'au 19 avril 2020. Il a ensuite donné une suite positive aux requêtes de la mandataire, des 18 mai, 25 juin, 6 et 7 juillet 2020 (dans ce dernier, elle demandait à l'OAI de bien vouloir atteindre de connaître les conclusions que le Dr C.________ pourrait formuler), prolongeant le délai pour la production de pièces finalement jusqu'au 31 juillet 2020. L'on notera encore qu'entre le 31 juillet 2020 et la décision du 20 août 2020, l'assuré ne s'est plus manifesté. Tout grief du recourant sur cette question de l'instruction, de la production de pièces et des délais doit, autant que suffisamment formulé, être rejeté. Il s'ensuit que le recours doit être rejeté, la non-entrée en matière sur la nouvelle demande de prestations étant pleinement fondée, et la décision attaquée confirmée.</w:t>
      </w:r>
    </w:p>
    <w:p>
      <w:r>
        <w:rPr>
          <w:b/>
        </w:rPr>
        <w:t>E. 4</w:t>
      </w:r>
    </w:p>
    <w:p>
      <w:r>
        <w:t>La procédure n'étant pas gratuite (art. 69 al. 1bis LAI), les frais de justice, par CHF 400.-, seront mis à la charge du recourant, qui succombe, et compensés avec l'avance de frais du même montant. Il ne sera pas alloué de dépens. (dispositif en page suivante)</w:t>
      </w:r>
    </w:p>
    <w:p>
      <w:r>
        <w:t>Tribunal cantonal TC Page 7 de 7 la Cour arrête : I. Le recours est rejeté. II. Les frais de la procédure de recours, par CHF 400.-, sont mis à la charge du recourant. Ils sont prélevés sur l'avance du même montant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mars 2021/djo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