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105 vom 15. September 2021</w:t>
      </w:r>
    </w:p>
    <w:p>
      <w:r>
        <w:t>FR Kantonsgericht, 2021-09-15, FR</w:t>
      </w:r>
    </w:p>
    <w:p>
      <w:r>
        <w:rPr>
          <w:b/>
        </w:rPr>
        <w:t xml:space="preserve">Quelle: </w:t>
      </w:r>
      <w:r>
        <w:t>https://mcp.opencaselaw.ch/entscheid/fr_gerichte_608_2020_105</w:t>
      </w:r>
    </w:p>
    <w:p>
      <w:r>
        <w:t>FR: FR_GERICHTE 608 2020 105 du 15 septembre 2021</w:t>
      </w:r>
    </w:p>
    <w:p>
      <w:r>
        <w:t>IT: FR_GERICHTE 608 2020 105 del 15 settembre 2021</w:t>
      </w:r>
    </w:p>
    <w:p>
      <w:pPr>
        <w:pStyle w:val="Heading2"/>
      </w:pPr>
      <w:r>
        <w:t>Regeste</w:t>
      </w:r>
    </w:p>
    <w:p>
      <w:r>
        <w:t>Arrêt de la IIe Cour des assurances sociales du Tribunal cantonal | Invalidenversicherung</w:t>
      </w:r>
    </w:p>
    <w:p>
      <w:pPr>
        <w:pStyle w:val="Heading2"/>
      </w:pPr>
      <w:r>
        <w:t>Erwägungen</w:t>
      </w:r>
    </w:p>
    <w:p>
      <w:r>
        <w:rPr>
          <w:b/>
        </w:rPr>
        <w:t>E. 10</w:t>
      </w:r>
    </w:p>
    <w:p>
      <w:r>
        <w:t>Reste à procéder au calcul du degré d'invalidité compte tenu de la répartition de 50% dans l'activité lucrative et de 50% dans la tenue du ménage. Selon la réglementation en vigueur jusqu'au 31 décembre 2017, un degré d'invalidité de 0% a été reconnu sur le plan lucratif et de 20.77% sur le plan ménager. Pondéré au partage des tâches par moitié, cela correspond à un degré d'invalidité total de 10.39%. Selon la réglementation en vigueur depuis le 1er janvier 2018, un degré d'invalidité de 47.99% a été reconnu sur le plan lucratif et de 20.77% sur le plan ménager. Pondérés au partage des tâches par moitié, cela correspond à des taux de 24% et de 10.39%, soit un degré d'invalidité total de 34.39%. Dans les deux cas, le degré d'invalidité est inférieur à 40%, ne donnant pas droit à une rente.</w:t>
      </w:r>
    </w:p>
    <w:p>
      <w:r>
        <w:rPr>
          <w:b/>
        </w:rPr>
        <w:t>E. 11</w:t>
      </w:r>
    </w:p>
    <w:p>
      <w:r>
        <w:t>Il ressort de l'ensemble de ce qui précède que le recours, mal fondé, doit être rejeté et la décision contestée confirmée. La procédure n'étant pas gratuite, les frais de justice, fixés à CHF 800.-, sont mis à la charge de la recourante. Ils sont compensés avec l'avance de CHF 800.- effectuée. Compte tenu de l'issue du recours, il n'est pas octroyé d'indemnité de partie. (dispositif en page suivante)</w:t>
      </w:r>
    </w:p>
    <w:p>
      <w:r>
        <w:t>Tribunal cantonal TC Page 16 de 16 la Cour arrête : I. Le recours est rejeté. II. Les frais de justice, fixés à CHF 800.-, sont mis à la charge de la recourante; ils sont compensés avec l'avance de CHF 800.- effectuée.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septembre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