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101 vom 26. April 2021</w:t>
      </w:r>
    </w:p>
    <w:p>
      <w:r>
        <w:t>FR Kantonsgericht, 2021-04-26, FR</w:t>
      </w:r>
    </w:p>
    <w:p>
      <w:r>
        <w:rPr>
          <w:b/>
        </w:rPr>
        <w:t xml:space="preserve">Quelle: </w:t>
      </w:r>
      <w:r>
        <w:t>https://mcp.opencaselaw.ch/entscheid/fr_gerichte_608_2020_101</w:t>
      </w:r>
    </w:p>
    <w:p>
      <w:r>
        <w:t>FR: FR_GERICHTE 608 2020 101 du 26 avril 2021</w:t>
      </w:r>
    </w:p>
    <w:p>
      <w:r>
        <w:t>IT: FR_GERICHTE 608 2020 101 del 26 aprile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 133 III 439 consid. 3.3; arrêts TF 4A_408/2010 du 7 octobre 2010 consid. 2.1; TAF A-5228/2016 du 25 avril 2017 consid. 3.2.1).</w:t>
      </w:r>
    </w:p>
    <w:p>
      <w:r>
        <w:rPr>
          <w:b/>
        </w:rPr>
        <w:t>E. 2.2</w:t>
      </w:r>
    </w:p>
    <w:p>
      <w:r>
        <w:t>Une partie à un procès doit pouvoir prendre connaissance de toute observation ou pièce soumise au tribunal et se déterminer à son propos, que celle-ci contienne ou non de nouveaux éléments de fait ou de droit, et qu'elle soit ou non concrètement de nature à influer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w:t>
      </w:r>
    </w:p>
    <w:p>
      <w:r>
        <w:t>Tribunal cantonal TC Page 4 de 12 En ce sens, il existe un véritable droit à la réplique qui vaut pour toutes les procédures judiciaires (ATF 133 I 98 consid. 2.1; 133 I 100 consid. 4.3 - 4.6).</w:t>
      </w:r>
    </w:p>
    <w:p>
      <w:r>
        <w:rPr>
          <w:b/>
        </w:rPr>
        <w:t>E. 2.3</w:t>
      </w:r>
    </w:p>
    <w:p>
      <w:r>
        <w:t>Le droit de consulter le dossier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 Lorsqu'elle verse au dossier de nouvelles pièces dont elle entend se prévaloir dans son jugement, l'autorité est tenue d'en aviser les parties. Encore qu'elle ne soit pas obligée de les renseigner sur chaque production de pièces, car il suffit qu'elle tienne le dossier à leur disposition (arrêt TF I 250/02 du 25 octobre 2002 consid. 3.3).</w:t>
      </w:r>
    </w:p>
    <w:p>
      <w:r>
        <w:rPr>
          <w:b/>
        </w:rPr>
        <w:t>E. 3</w:t>
      </w:r>
    </w:p>
    <w:p>
      <w:r>
        <w:t>Dans un premier temps, l'assurée se plaint d'une violation de son droit d'être entendue, en particulier de son droit de consulter et de s'expliquer avant qu'une décision ne soit prise à son détriment. En l'espèce, l'on constate d'emblée que, dans son projet de décision du 13 novembre 2019, l'OAI avait informé l'assurée qu'elle se fondait sur le "rapport d'expertise médicale" figurant dans le dossier constitué par l'assureur perte de gain. Suite à ce projet de décision, l'assurée est intervenue à de nombreuses reprises devant l'OAI, par le biais de son mandataire, se faisant produire l'intégralité du dossier de l'autorité intimée (dossier OAI, p. 503, 504, 509, 512, 513, 515, 533 et 544). Dans un courrier du 21 février 2020, elle a, notamment, déjà constaté que "le projet de décision établi le 15 novembre 2019, niant toute atteinte invalidante à la santé [...], a notamment été fondé sur un rapport d'expertise psychiatrique déposé le 15 mars 2019 par le Dr C.________, et adressé à la caisse-maladie D.________ dans le cadre d'une procédure d'indemnités journalières" (dossier OAI, p. 533). Il ressort ainsi très clairement de l'ensemble de ce qui précède que l'assurée a été concrètement en mesure de se prononcer sur les conclusions du Dr C.________ avant que l'OAI ne rende sa décision. L'on constate, au demeurant, que, contrairement aux allégations de la recourante, l'OAI s'est bel et bien fait produire des rapports de ses médecins, à tout le moins ceux dont il avait été informé du suivi, à savoir les médecins de F.________ et le Dr G.________, spécialiste en psychiatrie et psychothérapie (dossier OAI, p. 52, 105 et 328). Il s'est également fait produire d'autres rapports de ces médecins par le biais de l'assurance perte de gain (dossier OAI, p. 40 et 220) et a eu à disposition ceux directement transmis par l'assurée dans le cadre de ses objections (dossier OAI, p. 524ss). Enfin, l'Office a invité le Dr H.________, spécialiste en médecine interne générale auprès de son Service médical régional (ci-après: SMR), à se prononcer sur ces pièces à deux reprises (dossier OAI, p. 492 et 536). Le second rapport du SMR a été reporté dans la décision du 21 avril 2020 dans laquelle l'OAI se prononçait également sommairement sur les allégations de l'assurée. Le grief quant à la violation prétendue du droit d'être entendu est ainsi clairement infondé: l'assurée a eu la possibilité de s'exprimer tant sur les pièces au dossier que d'apporter elle-même de nouveaux moyens de preuve, lesquels ont été dûment pris en compte par l'OAI qui les a soumis au médecin du SMR et s'est prononcé à leur égard.</w:t>
      </w:r>
    </w:p>
    <w:p>
      <w:r>
        <w:t>Tribunal cantonal TC Page 5 de 12</w:t>
      </w:r>
    </w:p>
    <w:p>
      <w:r>
        <w:rPr>
          <w:b/>
        </w:rPr>
        <w:t>E. 4.1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4.2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6 de 12</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7 de 12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6</w:t>
      </w:r>
    </w:p>
    <w:p>
      <w:r>
        <w:t>Est ensuite litigieux l’évaluation de la capacité de travail de la recourante, en particulier la valeur probante de l’appréciation du Dr C.________, mandaté par D.________, dans son rapport du 15 mars 2019.</w:t>
      </w:r>
    </w:p>
    <w:p>
      <w:r>
        <w:rPr>
          <w:b/>
        </w:rPr>
        <w:t>E. 6.1</w:t>
      </w:r>
    </w:p>
    <w:p>
      <w:r>
        <w:t>A titre liminaire, contrairement à ce que sous-entend la recourante, le Dr C.________ n’est pas médecin-conseil de D.________ mais bien un psychiatre indépendant mandaté par cette dernière. L’expert est clair sur ce point, déclarant « avoir rempli le mandat confié libre de tout lien d’intérêt, en toute impartialité et en toute indépendance ». Ceci ayant été constaté, il faut constater ensuite que l’expert a examiné la situation de la recourante en se fondant d’abord sur les pièces mises à disposition par l’assurance perte de gain, en particulier les rapports des médecins de F.________ et du Dr G.________. L’expert s’est également entretenu avec l’infirmier spécialisé en santé mentale prenant en charge l’assurée de manière hebdomadaire. Enfin, il a rencontré l’assurée le 8 mars 2019. A cette occasion, il a pu procéder à un examen complet de celle-ci, étant rappelé que, conformément à la jurisprudence (cf. consid. 5.3 ci-avant), la durée de l’entretien n'est pas décisive en matière de valeur probante. Lors de cet entretien, l’assurée a, pour sa part, pu décrire ses atteintes ainsi que les conséquences de celles-ci sur sa vie quotidienne, notamment son anxiété lorsqu’elle sort de son domicile. L’expert a procédé en outre à un relevé détaillé de l’anamnèse, notamment de l’aggravation progressive déclarée des troubles depuis 2012, passant de crises d’angoisses isolées à une anxiété permanente justifiant une incapacité de travail totale, puis une hospitalisation. Il évoque également le fait que, depuis cette hospitalisation, l’assurée admet ne pas avoir « fait de vrai[e]s crises depuis », seulement de « grosses angoisses » sans sentiment d’oppression thoracique, tachycardie, tremblement ou sueurs. L’ensemble de ces éléments a conduit l’expert à retenir l’absence de tout diagnostic invalidant, privilégiant ceux, non incapacitants, de « trouble mixte de la personnalité (F61.0), dépendante et histrionique, de gravité légère » et de « traits agoraphobiques ». Il estime dès lors que l'assurée est en mesure de travailler à 100% dans toute activité. Cette évaluation est notamment fondée sur la présence d’incohérences et de divergences dans le discours de l’assurée, avec une description floue de l’historique médical ainsi qu’une symptomatologie dont la gravité alléguée n’est pas conforme avec l’histoire de vie de l’assurée. Par exemple, alors que la symptomatologie est sensée être majeure, l’assurée est en mesure de quitter son compagnon pour emménager chez sa mère, puis seule dans son propre appartement, sans nouvelle crise. Le médecin relève également que l’assurée n’a pas saisi toute les opportunités thérapeutiques pour réduire son atteinte à sa santé, mettant notamment rapidement un terme à un suivi quotidien à la clinique de jour pour le remplacer par un suivi mensuel auprès de son médecin traitant, ou en arrêtant une médication en raison d’effets indésirables peu crédibles. Il constate encore l’absence de symptomatologie anxieuse, l’assurée étant même venue « seule, en voiture, dans un endroit qu’elle ne connaissait pas et dans l’optique de réaliser un examen d’ordinaire notablement anxiogène ». Il souligne le caractère rare et peu sévère des crises d’angoisses, décrites de manière pauvre et seulement après des questions répétées.</w:t>
      </w:r>
    </w:p>
    <w:p>
      <w:r>
        <w:t>Tribunal cantonal TC Page 8 de 12 A ce stade, il convient d'examiner les prétendues incohérences et contradictions relevées par la recourante. Elle cite par exemple le fait que l’expert lui reproche une attitude « théâtrale et démonstrative, avec une voix volontairement grêle » tout en décrivant l’humeur comme « neutre », sans expression de tristesse, avec une gestuelle et une prosodie normale. Cependant, ces termes et passages – abstraits si lus de manière isolée – doivent être réintégrés dans le contexte du rapport mis en cause. Or, à bien lire l’expert de manière globale, les éléments relevés par la recourante n’apparaissent pas synonymes d’une contradiction mais fondent au contraire le constat que l’assurée tend – volontairement ou involontairement – à exagérer ses atteintes, notamment l’agoraphobie et l’anxiété. Cela conduit et rend plus lisible la démarche diagnostique de l’expert. Ce reproche d'incohérences et de contradictions ne peut dès lors être suivi. Partant, il ressort de l’ensemble de ce qui précède que l’expertise du Dr C.________, détaillée et bien motivée, remplit les critères reconnus par la jurisprudence pour se voir reconnaître une pleine valeur probante. C’est dès lors à juste titre que l’OAI s’est référé à ses conclusions.</w:t>
      </w:r>
    </w:p>
    <w:p>
      <w:r>
        <w:rPr>
          <w:b/>
        </w:rPr>
        <w:t>E. 6.2</w:t>
      </w:r>
    </w:p>
    <w:p>
      <w:r>
        <w:t>Reste à confronter les conclusions de ce médecin aux autres avis médicaux figurant au dossier, en particulier ceux des différents médecins assurant le suivi de l’assurée. Sur le plan diagnostic, le psychiatre traitant, le Dr G.________, suit l’assurée depuis 2015. Il diagnostique un état de stress aigu (F43), une personnalité dépendante (F60.7) et une anxiété généralisée (F41.1) (dossier OAI, p. 40, 220, 328 et 532). Pour sa part, la Dre I.________, spécialiste en psychiatrie et psychothérapie, qui a assuré un suivi occasionnel en 2018 et en 2019, estime que sa patiente souffre d’un « trouble mixte de la personnalité » (F61) et d’un « trouble panique avec agoraphobie » (F40.0) (dossier OAI, p. 530), diagnostics que les médecins de F.________ retiennent également (dossier OAI, p. 105). Enfin, le Dr J.________, médecin praticien, fait état des diagnostics de « syndrome anxiodépressif », de « troubles de la mémoire et de concentration », de « troubles du sommeil » et d’« hypothyroïdie » (dossier OAI, p. 527 ), reprenant les diagnostics évoqués par le Dr K.________, spécialiste en neurologie, auquel il a soumis le cas de l’assurée (dossier OAI, p. 522 et 526). Quant aux questions de la capacité de travail, le Dr G.________ retient que les troubles de sa patiente occasionnent des « angoisses persistantes », des « conflits récurrents à domicile » ainsi que des « difficultés dans le quotidien (courses, conduites...) ». Attestant d’abord d’une incapacité totale de travail, il précise ensuite que sa patiente est en incapacité de travail totale dans son ancienne activité et à 50% dans une activité adaptée, sans détailler les contours d’une telle activité (dossier OAI, p. 40, 220, 328 et 532). La Dre I.________ semble, elle, estimer que sa patiente peut travailler dans toutes les activités à 50% (dossier OAI, p. 530). Pour leur part, les médecins de F.________ n’attestent d’aucune incapacité de travail. Ils font seulement état de limitations dans les environnements publics et aux situations nécessitant un rapport avec d’autres personnes (dossier OAI, p. 106). Enfin, le Dr J.________ estime que la capacité de travail de sa patiente semble réduite dans un emploi administratif ou manuel mais qu’une activité nécessitant de courtes périodes de concentration et sans port de charge lourde ou manipulation d’objet semble envisageable. Les limitations qu’il évoque sont essentiellement en lien avec la médication prise (dossier OAI, p. 527 ; cf. ég. p. 522 et 526). Il ressort de ce qui précède que les médecins assurant le traitement de l’assurée apparaissent partagés tant sur la problématique du diagnostic que sur celle de l’évaluation de la capacité de travail. Cette divergence d’évaluation notable tend à confirmer l’appréciation de l’expert, lequel constate de fortes divergences entre les troubles décrits et ceux qui peuvent être objectivement</w:t>
      </w:r>
    </w:p>
    <w:p>
      <w:r>
        <w:t>Tribunal cantonal TC Page 9 de 12 relevés dans les activités quotidiennes d’une assurée souffrant d’un trouble mixte de la personnalité (F61.0) avec des traits de dépendance, d’histrionnie et d’agoraphobie. Ainsi que l’exprime le Dr H.________, du SMR, « cette différente appréciation peut être expliquée par le comportement très démonstratif de l’assurée, bien décrit par l’expert, ainsi que la longue liste d’incohérences qu’il a pu mettre en évidence, soulignant une exagération des symptômes » (dossier OAI, p. 537). Au demeurant, il apparaît que, pris individuellement, les différents rapports des médecins traitants apparaissent bien peu motivés au regard du rapport d’expertise de plus de 29 pages d’une écriture dense. En particulier, l’on constate que les différents médecins ne donnent aucune anamnèse détaillée, qu’ils ne rapportent aucun examen de leur patiente et ne motivent pas leurs diagnostics et évaluation de la capacité de travail. Tout au plus peut-on constater que le rapport des médecins de F.________ – qui, on le rappelle, n’attestent d’aucune incapacité de travail à l’instar du Dr C.________ – semble un peu plus argumenté que ceux des autres médecins interrogés, mais demeure clairement insuffisant pour venir battre en brèche la thèse de l'expert. Quoi qu’il en soit, la jurisprudence attire l'attention sur la relation de confiance qui s'établit immanquablement entre un patient et son médecin traitant, relation ayant pour effet que ce dernier pourrait avoir tendance à prendre parti pour son patient. La jurisprudence émet donc une certaine réserve quant à l’appréciation des médecins traitants, proposant qu’il soit attaché plus de poids à l’opinion motivée d’un expert. Cette réserve s’impose d’autant plus dans le présent cas, alors que des éléments laissent penser que l’assurée a une tendance allant vers l’exagération des symptômes.</w:t>
      </w:r>
    </w:p>
    <w:p>
      <w:r>
        <w:rPr>
          <w:b/>
        </w:rPr>
        <w:t>E. 6.3</w:t>
      </w:r>
    </w:p>
    <w:p>
      <w:r>
        <w:t>L’assurée doit donc se voir reconnaître une pleine capacité de travail, tant dans son ancienne activité d’employée de bureau que dans d’autres activités. En l'absence d’incapacité de gain, son degré d’invalidité est nul. A ce stade, l’on ne peut pas exclure que l’assurée consacrerait une partie de son temps à la tenue de son ménage, quand bien même celle-ci apparaîtrait minime au vu de ses déclarations en lien avec sa situation financière (dossier OAI, p. 98). Dans ce contexte, il aurait pu être utile d’examiner dans quelle mesure l’assurée serait limitée sur le plan ménager. Cela étant, il est plus que vraisemblable que la recourante ne se verrait également pas reconnaître le droit à des prestations si l’on devait procéder à l’examen de son cas sur la base de la méthode mixte. En effet, le Dr C.________ constate de manière probante que l’assurée ne semble que peu limitée sur ce plan, relevant que les seules limitations déclarées sont en lien avec le contact vers l’extérieur (dossier OAI, p. 238). Par ailleurs, la Cour étant en mesure de statuer sur la base des pièces au dossier, il est renoncé à procéder à l’audition de la recourante par appréciation anticipée des preuves (ATF 140 I 285 consid. 6.3.1 et les arrêts cités). Partant, il ressort de l’ensemble de ce qui précède, que le recours, mal fondé, doit être rejeté et la décision du 21 avril 2020 confirmée. Les frais de justice, par CHF 800.-, sont mis à la charge de la recourante, sous réserve des considérants sur l'assistance judiciaire qui suivent.</w:t>
      </w:r>
    </w:p>
    <w:p>
      <w:r>
        <w:t>Tribunal cantonal TC Page 10 de 12</w:t>
      </w:r>
    </w:p>
    <w:p>
      <w:r>
        <w:rPr>
          <w:b/>
        </w:rPr>
        <w:t>E. 7.1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w:t>
      </w:r>
    </w:p>
    <w:p>
      <w:r>
        <w:rPr>
          <w:b/>
        </w:rPr>
        <w:t>E. 7.2</w:t>
      </w:r>
    </w:p>
    <w:p>
      <w:r>
        <w:t>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7.3</w:t>
      </w:r>
    </w:p>
    <w:p>
      <w:r>
        <w:t>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8. 8.1. En l'espèce, au vu de la situation financière de la recourante, qui vit seule et a deux enfants à sa charge, force est de retenir qu’elle ne dispose pas des ressources suffisantes pour supporter les frais de la procédure introduite sans s’exposer à la privation des choses nécessaires à son existence. S'agissant ensuite des chances de succès, force est de constater que les arguments présentés par la recourante et par son mandataire n'apparaissaient pas d'un très grand poids. L'on relève ainsi</w:t>
      </w:r>
    </w:p>
    <w:p>
      <w:r>
        <w:t>Tribunal cantonal TC Page 11 de 12 l’absence manifeste de toute violation du droit d’être entendu. L’on souligne également que la demande de se voir reconnaître un degré d’invalidité de 70% – nullement motivé dans le recours – n’est pas soutenue par les pièces du dossier, les médecins faisant – tout au plus – état d’une incapacité de travail de l’ordre de 50%. Enfin, les reproches adressés à l’encontre de l’expert découlent d’une reprise partielle et isolée de certains propos. Cela étant, l'examen du dossier auquel a dû se livrer la Cour a tout de même présenté certaines difficultés, de sorte qu'il n'est pas possible de conclure que le recours était d'emblée dénué de toute chance de succès. L'assistance d'un avocat pour la procédure de recours devant la Cour de céans apparaissait pour sa part justifiée. En conséquence, il convient de mettre la recourante au bénéfice de l'assistance judiciaire gratuite totale dans le cadre de la procédure de recours 608 2020 101 et de lui désigner comme défenseur d'office Me Nicolas Charrière, avocat. 8.2. Le 20 avril 2021, Me Nicolas Charrière, avocat, a produit sa liste de frais, d’un montant de CHF 5'161.21, à savoir CHF 4'420.87 au titre d'honoraires (17h41 au tarif horaire de CHF 250.-), CHF 90.- au titre de correspondance, CHF 281.65 au titre de débours et CHF 369.09 au titre de la TVA (7.7%). Toutefois, la liste de frais produite n'est pas conforme aux exigences du tarif cantonal du 17 décembre 1991 des frais de procédure et des indemnités en matière de juridiction administrative (Tarif JA; RSF 150.12). En particulier, elle inclut un tarif des photocopies supérieur à 40 centimes (cf. art. 9 al. 2 Tarif JA), étant relevé que le nombre de photocopies allégué (près de 500 pages, sans copie du dossier) apparaît surprenant au vu de la taille des mémoires et annexes. L'on constate en outre ne pas pouvoir contrôler le montant de CHF 90.- allégué au titre de "correspondance". Cette liste tient au demeurant compte d'un tarif horaire de CHF 250.- alors que celui-ci doit être de CHF 180.- dans le cadre de l'assistance judiciaire. Enfin, l'ampleur du travail allégué ne saurait se justifier par la nature, l'importance et la difficulté de la présente cause. L'on rappelle ainsi qu'un seul échange d'écritures a été ordonné et que la cause ne soulevait pas de questions de fait ou de droit inhabituelles ou exceptionnellement ardues. L'ensemble de ces motifs justifie que la Cour s'écarte de la liste de frais produite et fixe l'indemnité d’office, selon sa libre appréciation (cf. art. 11 Tarif JA). Compte tenu de l'importance et de la difficulté de l'affaire (art. 11 al. 2 Tarif JA), l'indemnité du défenseur désigné est fixée ex aequo et bono à un montant total de CHF 2'627.90, à savoir à CHF 2'340.- au titre d'honoraires (13 heures à CHF 180.-), CHF 100.- au titre de frais et CHF 187.90 au titre de la TVA (7.7%). Ce montant est mis à la charge de l'Etat de Fribourg. 8.3. Compte tenu de l'assistance judiciaire octroyée, les frais de justice de CHF 800.- ne sont pas prélevés. (dispositif en page suivante)</w:t>
      </w:r>
    </w:p>
    <w:p>
      <w:r>
        <w:t>Tribunal cantonal TC Page 12 de 12 la Cour arrête : I. Le recours (608 2020 101) est rejeté. II. La requête d'assistance judiciaire gratuite totale (608 2020 102) est admise et Me Nicolas Charrière, avocat, est désigné comme défenseur d'office. III. L'indemnité allouée au défenseur d'office est fixée à CHF 2'627.90, dont CHF 187.90 au titre de la TVA (7.7%), et mise intégralement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2021/pte Le Président : Le Greffier-rapporteur :</w:t>
      </w:r>
    </w:p>
    <w:p>
      <w:r>
        <w:rPr>
          <w:b/>
        </w:rPr>
        <w:t>E. 10</w:t>
      </w:r>
    </w:p>
    <w:p>
      <w:r>
        <w:t>mai 2010 consid. 4.1.2). Dans le domaine des assurances sociales, le droit à l'assistance judiciaire en procédure cantonale est expressément inscrit à l'art. 61 let.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