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81 vom 5. Dezember 2019</w:t>
      </w:r>
    </w:p>
    <w:p>
      <w:r>
        <w:t>FR Kantonsgericht, 2019-12-05, FR</w:t>
      </w:r>
    </w:p>
    <w:p>
      <w:r>
        <w:rPr>
          <w:b/>
        </w:rPr>
        <w:t xml:space="preserve">Quelle: </w:t>
      </w:r>
      <w:r>
        <w:t>https://mcp.opencaselaw.ch/entscheid/fr_gerichte_608_2019_81</w:t>
      </w:r>
    </w:p>
    <w:p>
      <w:r>
        <w:t>FR: FR_GERICHTE 608 2019 81 du 5 décembre 2019</w:t>
      </w:r>
    </w:p>
    <w:p>
      <w:r>
        <w:t>IT: FR_GERICHTE 608 2019 81 del 5 dicembre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par une recourante, dûment représentée et directement atteinte par la décision querellée, le recours, déposé auprès de l'autorité judiciaire compétente à raison du lieu ainsi que de la matière, est recevable.</w:t>
      </w:r>
    </w:p>
    <w:p>
      <w:r>
        <w:rPr>
          <w:b/>
        </w:rPr>
        <w:t>E. 2</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3.1</w:t>
      </w:r>
    </w:p>
    <w:p>
      <w:r>
        <w:t>L'art. 87 al. 3 du règlement du 17 janvier 1961 sur l'assurance-invalidité (RAI; RS 831.201) 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Les principes régissant la révision selon l’art. 17 LPGA étant applicables par analogie aux cas prévus à l’art 87 RAI, il doit en aller de même s'agissant d'une nouvelle demande, comme ici. Selon l'art. 17 LPGA, si le taux d'invalidité du bénéficiaire de la rente subit une modification notable, la rente est, d'office ou sur demande, révisée pour l'avenir, à savoir augmentée ou réduite en conséquence, ou encore supprimée.</w:t>
      </w:r>
    </w:p>
    <w:p>
      <w:r>
        <w:rPr>
          <w:b/>
        </w:rPr>
        <w:t>E. 3.2</w:t>
      </w:r>
    </w:p>
    <w:p>
      <w:r>
        <w:t>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w:t>
      </w:r>
    </w:p>
    <w:p>
      <w:r>
        <w:t>Tribunal cantonal TC Page 4 de 9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9C_910/2010 du 7 juillet 2011 consid. 3.2 a contrario).</w:t>
      </w:r>
    </w:p>
    <w:p>
      <w:r>
        <w:rPr>
          <w:b/>
        </w:rPr>
        <w:t>E. 4</w:t>
      </w:r>
    </w:p>
    <w:p>
      <w:r>
        <w:t>Dans le droit des assurances sociales, la règle du degré de vraisemblance prépondérante est généralement appliquée.</w:t>
      </w:r>
    </w:p>
    <w:p>
      <w:r>
        <w:rPr>
          <w:b/>
        </w:rPr>
        <w:t>E. 4.1</w:t>
      </w:r>
    </w:p>
    <w:p>
      <w:r>
        <w:t>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4.2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w:t>
      </w:r>
    </w:p>
    <w:p>
      <w:r>
        <w:t>Tribunal cantonal TC Page 5 de 9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4.3</w:t>
      </w:r>
    </w:p>
    <w:p>
      <w:r>
        <w:t>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Le médecin SMR peut susciter des doutes quant au bien-fondé d'une expertise, mais il ne saurait en infirmer d'emblée, et de façon définitive, les conclusions (arrêt TF 9C_144/2009 du 10 décembre 2010 consid. 4).</w:t>
      </w:r>
    </w:p>
    <w:p>
      <w:r>
        <w:rPr>
          <w:b/>
        </w:rPr>
        <w:t>E. 5</w:t>
      </w:r>
    </w:p>
    <w:p>
      <w:r>
        <w:t>Est d'abord litigieuse, en l'espèce, la question de savoir si l'état de santé de la recourante s'est aggravé et entraîne une diminution de sa capacité de travail au point qu'elle se voit reconnaître un droit à des prestations de l'assurance-invalidité. A titre liminaire, la Cour rappelle que le moment où a été rendue la décision litigieuse délimite l'état de fait déterminant pour examiner la légalité de l'acte attaqué (cf. ATF 132 V 215 consid. 3.1.1; 129 V 1 consid. 1.2). Dans ce contexte, les éléments de faits postérieurs à la décision – figurant notamment dans le rapport médical et les différents certificats d'incapacité de travail produits dans le cadre de l'échange d'écritures – ne peuvent pas être pris en considération dans le cadre du présent litige, dans la mesure où aucun enseignement ne peut en être tiré pour la période ici litigieuse.</w:t>
      </w:r>
    </w:p>
    <w:p>
      <w:r>
        <w:t>Tribunal cantonal TC Page 6 de 9</w:t>
      </w:r>
    </w:p>
    <w:p>
      <w:r>
        <w:rPr>
          <w:b/>
        </w:rPr>
        <w:t>E. 5.1</w:t>
      </w:r>
    </w:p>
    <w:p>
      <w:r>
        <w:t>Cela étant, lorsqu'il nie l'existence d'un tel droit, l'OAI se fonde sur les rapports des médecins de son SMR, le Dr C.________, spécialiste en chirurgie, et le Dr D.________, spécialiste en médecine interne générale. Dans son rapport du 10 avril 2018, le premier admet que l'assurée n'est plus en mesure d'exercer son ancienne activité d'ouvrière de montage, mais pense qu'elle demeure en mesure de travailler à 100%, sans diminution de rendement, dans une activité adaptée depuis le début de l'année 2018. Une telle activité doit respecter selon lui les limitations fonctionnelles suivantes: "Pas de mouvements répétitifs avec le bras droit, pas de port de charges de plus de 10kg avec le bras droit, pas de travail avec les bras au-dessus de la tête" (dossier OAI, p. 138). Pour sa part, dans son rapport du 5 décembre 2018, le second considère qu'une pleine capacité de travail est exigible dans une activité adaptée depuis le 5 février 2018, à savoir une activité sans travail avec les bras au-dessus de la tête ou du plan horizontal, sans mouvements répétitifs et sans port de charges supérieures à 10 kg avec les deux bras. Il précise que les nouveaux troubles au bras gauche entraînent les mêmes limitations fonctionnelles que les troubles à l'épaule gauche, relevant qu'elles sont similaires, voire même identiques. Selon lui, la nouvelle opération évoquée – mais non encore prévue – ne pourrait avoir qu'un effet positif sur la situation de l'assurée, après une période d'incapacité postopératoire de quelques mois (dossier OAI, p. 202).</w:t>
      </w:r>
    </w:p>
    <w:p>
      <w:r>
        <w:rPr>
          <w:b/>
        </w:rPr>
        <w:t>E. 5.2</w:t>
      </w:r>
    </w:p>
    <w:p>
      <w:r>
        <w:t>Ces deux rapports ne sont pas fondés sur un examen de l'assurée mais sur les pièces figurant au dossier. S'agissant des pièces médicales, ce dernier ne contient que les rapports du médecin traitant de l'assurée, le Dr E.________, spécialiste en chirurgie orthopédique et traumatologie de l'appareil locomoteur. Aucun autre médecin n'a été interrogé dans ce dossier. Dans ses différents rapports, le Dr E.________ constate que sa patiente souffre principalement d'une tendinopathie calcifiante à l'épaule droite mais évoque également "des douleurs à son épaule gauche, douleurs qui se sont aggravées ces dernières semaines". Il souligne ne pas prévoir prochainement d'opération à l'épaule droite – même si cela n'est pas exclu à terme – dès lors que, à l'occasion du dernier contrôle, le résultat de la physiothérapie était encourageant, avec une diminution des plaintes douloureuses. Refusant de se prononcer sur les limitations fonctionnelles liées à l'épaule gauche, il retient les restrictions suivantes: "Limitation du port de charges à 10kg maximum[,] éviter les mouvements répétitifs du bras droit [et] éviter les activités du bras droit au-dessus de la tête et au-dessus du plan de travail (douleurs si les bras ne sont pas posés sur l'établi)". Quant aux limitations fonctionnelles plus globales, le médecin souligne que sa patiente rencontre "des difficultés pour les activités de ménage avec le bras au-dessus de la tête et en l'air, ainsi que les mouvements répétitifs, ce qui rend difficile les activités ménagères" (rapport du 13 août 2018, dossier OAI, p. 191; cf. ég. p. 100 et 135; cf. ég. bordereau recours, pièce 6). Jusqu'à ce stade, l'avis du Dr E.________ a donc été suivi par les deux médecins du SMR. Cependant, s'agissant de la problématique de la capacité de travail, les deux médecins du SMR s'écartent de l'appréciation de l'orthopédiste. Certes, dans son rapport du 29 janvier 2018, celui-ci affirme que sa patiente était en mesure de travailler à 100% dans une activité adaptée dès le 5 février 2018 (dossier OAI, p. 135). En revanche, dans son rapport du 13 août 2018, il tempère cette affirmation, en refusant d'évaluer la</w:t>
      </w:r>
    </w:p>
    <w:p>
      <w:r>
        <w:t>Tribunal cantonal TC Page 7 de 9 capacité de travail de sa patiente car "l'état de santé n'est actuellement pas stable" et que des douleurs persistent "essentiellement dans la région du tendon du long chef du biceps [droit]" (dossier OAI, p. 100). Enfin, dans son rapport du 25 mars 2019, il soutient ce qui suit: "Dans une activité légère de type bureau ou administratif moyennant une formation, où épaules droite et gauche ne seraient pas sollicitées par des mouvements répétitifs, j'estime que la patiente pourra travailler à plein temps, mais avec un rendement diminué évalué de 30%, compte tenu des atteintes touchant les deux bras (tendinopathie calcifiante des tendons du sus-épineux notamment) engendrant des limitations fonctionnelles objectives (notamment diminution des amplitudes), sensibilité et de la fatigue" (bordereau recours, pièce 6). S'agissant de la problématique de la capacité de travail, on constate une certaine confusion, pour ne pas dire contradiction, dans les dires de l'orthopédiste traitant. Et ses explications sont hasardeuses: "Lors du contrôle de janvier 2018, je pronostiquais une prochaine reprise dans une activité adaptée en février 2019 [recte: 2018] avec contrôle à 6 mois, pronostic peut-être un peu rapide. En effet, par la suite vu l'état de santé de la patiente et l'évolution défavorable tant à l'épaule droite qu'à l'épaule gauche, je n'ai pu que prolonger les traitements avec contrôles fréquents (environ tous les mois) et nouveaux examens sur le plan orthopédique (notamment nouvel IRM), ainsi que rechercher d'autres solutions thérapeutiques en vue d'une amélioration de la santé de la patiente" (bordereau recours, pièce 6). Or, il est quelque peu osé de qualifier de "pronostic rapide" le fait de repousser la reprise de l'activité professionnelle au lundi suivant le jour d'évaluation, cela d'autant plus qu'il mentionnait déjà une "évolution défavorable". Si le médecin ne pouvait évidemment pas prévoir comment évoluerait l'état de sa patiente une semaine plus tard, il perd en crédibilité lorsqu'il réduit de 30% sa capacité de travail. Si le médecin avait alors effectivement estimé que l'évaluation de cette dernière n'était pas définitive, il ne se serait alors pas avancé à ce point mais aurait assorti son pronostic d'une réserve dans son rapport du 29 janvier 2018. Une telle réserve n'y figure toutefois nullement. L'on ne peut pas exclure que cette différence d'appréciation soit liée à la relation de confiance qui s'établit immanquablement entre le médecin traitant et son patient. Cette relation peut rendre le médecin enclin, en cas de doute, à prendre parti pour son patient (ATF 125 V 351 consid. 3b/cc et les références citées).</w:t>
      </w:r>
    </w:p>
    <w:p>
      <w:r>
        <w:rPr>
          <w:b/>
        </w:rPr>
        <w:t>E. 5.3</w:t>
      </w:r>
    </w:p>
    <w:p>
      <w:r>
        <w:t>Il ressort de ce qui précède que les avis des deux médecins du SMR s'écartent de l'appréciation du seul médecin interrogé, le Dr E.________. Celui-ci présente des conclusions qui n'apparaissent que peu convaincantes en l'état, de sorte qu'elles ne peuvent manifestement être suivies. L'on ne saurait pour autant suivre l'avis des deux médecins du SMR qui procèdent à une démarche diagnostique dans un domaine qui n'est pas le leur pour s'opposer à l'avis du seul spécialiste interrogé, et cela sans même avoir examiné l’assurée. Cela dépasse le rôle de conseil qui est reconnu au SMR, lequel ne peut qu'indiquer quelle opinion médicale il convient de suivre ou, cas échéant, de proposer des investigations complémentaires; tel est d'autant plus le cas lorsqu'il ne se fonde pas sur un examen clinique, comme c'est ici le cas (cf. notamment, pour les plus récents arrêts du Tribunal dans ce sens, arrêts TC FR 608 2018 1 du 20 juillet 2018; 608 2017 158 du 27 juin 2018; 608 2017 216 du 7 mars 2018; 608 2017 17 du 6 mars 2018; 608 2017 88 du 11 septembre 2017; 608 2016 261 du 31 juillet 2017; 608 2016 120 du 9 juin 2017).</w:t>
      </w:r>
    </w:p>
    <w:p>
      <w:r>
        <w:t>Tribunal cantonal TC Page 8 de 9 Dans ces circonstances, il apparaît que la cause est insuffisamment instruite pour permettre à la Cour de statuer sur les conclusions des parties. Il convient de renvoyer la cause à l'autorité intimée pour instruction complémentaire et nouvelle décision.</w:t>
      </w:r>
    </w:p>
    <w:p>
      <w:r>
        <w:rPr>
          <w:b/>
        </w:rPr>
        <w:t>E. 6</w:t>
      </w:r>
    </w:p>
    <w:p>
      <w:r>
        <w:t>Quoi qu'il en soit, on constate que l’OAI semble retenir que l'assurée a recouvré une capacité de travail au début de l'année 2018, ce qui implique qu'il admet dans le même temps une aggravation de la situation, du moins pour la période consécutive à l'opération de l’épaule, à savoir depuis le 2 mars 2017. Or, l'on ne doit pas oublier que l'assurée avait déposé une première demande en 2014, déjà pour un problème à l'épaule gauche, et avait alors spontanément changé d'activité professionnelle. Dans ces circonstances, il y aura lieu pour l'OAI de se prononcer sur la fin du délai d'attente. Cas échéant, la recourante pourrait également bénéficier de prestations pour la période post- opératoire.</w:t>
      </w:r>
    </w:p>
    <w:p>
      <w:r>
        <w:rPr>
          <w:b/>
        </w:rPr>
        <w:t>E. 7.1</w:t>
      </w:r>
    </w:p>
    <w:p>
      <w:r>
        <w:t>Au vu de l'ensemble de ce qui précède, le recours, bien fondé, doit être admis et la décision attaquée annulée. La cause est renvoyée à l'autorité intimée pour instruction complémentaire et nouvelle décision.</w:t>
      </w:r>
    </w:p>
    <w:p>
      <w:r>
        <w:rPr>
          <w:b/>
        </w:rPr>
        <w:t>E. 7.2</w:t>
      </w:r>
    </w:p>
    <w:p>
      <w:r>
        <w:t>Ayant obtenu gain de cause, la recourante a droit à l'octroi d'une indemnité de partie pour ses frais de défense. Le 24 juin 2019, sa mandataire a produit sa liste de frais d'un montant total de CHF 5'604.94, à savoir CHF 5'158.26.38 au titre d'honoraires, CHF 397.12 au titre de la TVA (7.7%) et CHF 46.- au titre de frais non soumis à la TVA. Toutefois, l'on constate que l'ampleur du travail alléguée par la mandataire ne saurait se justifier par la nature, l'importance et la difficulté de la présente cause, étant rappelé qu'un seul échange d'écritures a été ordonné. Dans ces circonstances, la Cour s'écarte des opérations qui y figurent et fixe l'indemnité d’office, selon sa libre appréciation (cf. art. 11 Tarif JA). Compte tenu de l'importance et de la difficulté de l'affaire (art. 11 al. 2 Tarif JA), l'indemnité de partie est fixée ex aequo et bono à un montant total de CHF 3'815.50, à savoir de CHF 3'500.- au titre d'honoraires (14 heures à CHF 250.-), CHF 269.50 au titre de la TVA (7.7%) et CHF 46.- au titre de frais non soumis à la TVA. Ce montant est mis à la charge de l'autorité intimée qui succombe.</w:t>
      </w:r>
    </w:p>
    <w:p>
      <w:r>
        <w:rPr>
          <w:b/>
        </w:rPr>
        <w:t>E. 7.3</w:t>
      </w:r>
    </w:p>
    <w:p>
      <w:r>
        <w:t>Compte tenu de l'issue du litige, il convient de condamner l'autorité intimée qui succombe à des frais de procédure, par CHF 800.-. L'avance de frais effectuée par la recourante, à raison de CHF 800.-, lui est restituée. (dispositif en page suivante)</w:t>
      </w:r>
    </w:p>
    <w:p>
      <w:r>
        <w:t>Tribunal cantonal TC Page 9 de 9 la Cour arrête : I. Le recours est admis. Partant, la décision de l’Office de l’assurance-invalidité du canton de Fribourg du 21 février 2019 est annulée et la cause renvoyée à l'autorité intimée pour instruction complémentaire au sens des considérants et nouvelle décision. II. Les frais de procédure, par CHF 800.-, sont mis à la charge de l'Office de l'assurance- invalidité du canton de Fribourg, l'avance de frais de CHF 800.- versée par la recourante lui étant restituée. III. L'indemnité de partie allouée à la recourante est fixée à CHF 3'815.50, dont CHF 269.50 au titre de la TVA (7.7%), et intégralement mis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décembre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