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49 vom 11. Oktober 2019</w:t>
      </w:r>
    </w:p>
    <w:p>
      <w:r>
        <w:t>FR Kantonsgericht, 2019-10-11, FR</w:t>
      </w:r>
    </w:p>
    <w:p>
      <w:r>
        <w:rPr>
          <w:b/>
        </w:rPr>
        <w:t xml:space="preserve">Quelle: </w:t>
      </w:r>
      <w:r>
        <w:t>https://mcp.opencaselaw.ch/entscheid/fr_gerichte_608_2019_49</w:t>
      </w:r>
    </w:p>
    <w:p>
      <w:r>
        <w:t>FR: FR_GERICHTE 608 2019 49 du 11 octobre 2019</w:t>
      </w:r>
    </w:p>
    <w:p>
      <w:r>
        <w:t>IT: FR_GERICHTE 608 2019 49 del 11 ottobre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w:t>
      </w:r>
    </w:p>
    <w:p>
      <w:r>
        <w:t>Tribunal cantonal TC Page 4 de 10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degré d'invalidité résulte ainsi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classique de comparaison des revenus. Cette comparaison s'effectue, en règle ordinaire, en chiffrant aussi exactement que possible les montants de ces deux revenus (ATF 128 V 30 consid. 1; 104 V 136 consid. 2a et 2b; RCC 1985 p. 469).</w:t>
      </w:r>
    </w:p>
    <w:p>
      <w:r>
        <w:rPr>
          <w:b/>
        </w:rPr>
        <w:t>E. 2.3</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w:t>
      </w:r>
    </w:p>
    <w:p>
      <w:r>
        <w:t>Tribunal cantonal TC Page 5 de 10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3</w:t>
      </w:r>
    </w:p>
    <w:p>
      <w:r>
        <w:t>En l'espèce, le recourant conteste l'appréciation de son état de santé par l'OAI et requiert la mise sur pied d'une expertise pluridisciplinaire. Il prétend en outre à l'octroi de mesures d'ordre professionnel (aide au placement, placement à l'essai) supplémentaires, ensuite desquelles une nouvelle évaluation de son taux d'invalidité devra être menée.</w:t>
      </w:r>
    </w:p>
    <w:p>
      <w:r>
        <w:rPr>
          <w:b/>
        </w:rPr>
        <w:t>E. 3.1</w:t>
      </w:r>
    </w:p>
    <w:p>
      <w:r>
        <w:t>Le dossier médical récent se présente comme suit: Le 4 décembre 2017, le Dr G.________, généraliste traitant, adresse l'assuré au Service de chirurgie orthopédique de H.________. Il rappelle que "A.________ a été victime d'une fracture de fatigue du plateau tibial droit l'été dernier lors d'activités militaires probablement par surcharge. L'évolution dans un premier temps a été favorable avec cependant récidive des douleurs par la suite sans complication objectivée lors d'une IRM d'octobre 2017". Le généraliste requiert donc l'avis de spécialistes en orthopédie vu la persistance des douleurs. Dans son rapport du 29 mars 2018, l'experte E.________, spécialiste en neuropsychologie, retient les diagnostics de trouble mixte des acquisitions scolaires (F81.3) et de trouble déficitaire de l'attention avec impulsivité (TDAH; F90.0), présents depuis l'enfance et ayant justifié une scolarisation spécifique. Elle écarte en revanche la présence d'une déficience intellectuelle. Dans son évaluation, l'experte relève en particulier que, "sur le plan psychique, l'assuré ne rapporte pas de trouble de l'humeur ni de signes anxieux, il n'y a pas de suspicion de trouble psychique. Par contre, nous ne pouvons pas nous prononcer sur sa personnalité, cette question n'étant pas d'ordre strictement neuropsychologique. Rappelons les observations sur le plan du</w:t>
      </w:r>
    </w:p>
    <w:p>
      <w:r>
        <w:t>Tribunal cantonal TC Page 6 de 10 comportement mentionnées plus haut, soit un assuré impulsif, digressif et distractible, ce qui relève vraisemblablement du TDA/H. On observe cependant également de légères difficultés de reconnaissance d'expressions faciales émotionnelles et un certain retrait social (peu d'amis) chez un assuré ayant souvent rencontr[é] des difficultés relationnelles (conflits avec les camarades) qui peuvent à la fois être l'expression du TDA/H ou d'un trouble de la personnalité surajouté". Plus loin, elle relève que "l'assuré n'a pas bénéficié à notre connaissance de traitements médicamenteux pour le TDA/H, ce qui pourrait améliorer les troubles attentionnels et exécutifs. Il n'a pas non plus bénéficié, à notre connaissance, de psychothérapie pour l'accompagner dans ses difficultés relationnelles et de gestion émotionnelle, ce qui aurait pu lui être bénéfique". Selon elle, la formation initiale réalisée était adéquate, une formation plus complexe (de type AFP ou CFC) n'aurait pas été exigible en raison des limitations constatées. Sous l'angle du pronostic, l'atteinte à la santé est considérée comme stable au plan neuropsychologique, une légère évolution demeurant possible pour le TDA/H (en lien avec la maturation cérébrale), surtout si un traitement médicamenteux était mis en place. "Un traitement psychothérapeutique pourrait également lui être bénéfique au vu des légères difficultés relationnelles et de cognition sociale. Dans ce sens, un avis psychiatrique serait pertinent". S'agissant de la capacité de travail, elle est considérée comme entière dans l'activité de paysagiste sans qualification, avec un rendement diminué de 20% lié au TDA/H. L'experte précise toutefois que le rendement est susceptible de s'améliorer moyennant la mise en place de mesures ad hoc (médication du TDAH et psychothérapie). Le 8 mai 2018, le Dr I.________, médecin SMR, confirmera la valeur probante de dite expertise. Il recommandera toutefois d'investiguer plus avant l'atteinte orthopédique au genou droit, alors insuffisamment documentée. Dans un rapport du 23 juillet 2018, le Dr J.________, chef de clinique adjoint auprès de la Clinique de chirurgie orthopédique de H.________, retient le diagnostic de déconditionnement du membre inférieur droit sur status post-fracture du plateau tibial, ainsi que de suspicion de CRPS post- traumatique. L'état de santé est considéré comme s'aggravant, "le patient n'arrivant pas à faire une rééducation, l'état musculaire et le déconditionnement du genou s'aggravant". Précisant suivre cet assuré depuis le début 2018, le médecin note que le traitement ne montre pas encore d'amélioration et que le patient présente toujours de fortes douleurs d'origine peu claire, nécessitant une évaluation approfondie, raison pour laquelle il est adressé en rhumatologie (Dr F.________) pour une évaluation. Dans un courrier du 1er octobre 2018, l'assurance militaire retient que, "d'après les renseignements médicaux actuels (examens radiologiques et évolution clinique), la fracture tibiale de stress droite (seule affection assurée) est guérie". Elle considère dès lors que la capacité de travail de l'assuré dans une activité adaptée est entière, notamment dans le paysagisme et met donc fin à ses prestations. Par courrier du 8 octobre 2018, le Dr F.________ détaille le résultat de ses examens à l'attention du Dr J.________. Il retient les diagnostics d'hyperesthésie hémicorps droit (sans visage), chronique, lentement favorable (R20.8), d'origine peu claire, ainsi que dyslexie et dysorthographie (F80.0), avec probablement des troubles du développement concernant l'acquisition des connaissances. Après rappel de l'anamnèse et examen clinique, il note que "bien que le genou fût peut-être le point de départ, actuellement, on ne peut pas parler d'une pathologie isolée du genou. A mon avis, il a un trouble de la sensibilité de l'hémicorps droit type plutôt psychogène. Il n'y a pas de signe pour une CRPS". Il soupçonne également la présence d'un trouble de l'acquisition des</w:t>
      </w:r>
    </w:p>
    <w:p>
      <w:r>
        <w:t>Tribunal cantonal TC Page 7 de 10 compétences scolaires et d'acquisition de connaissances en général. Au final, le Dr F.________ considère le patient comme apte au travail à 100% et l'a incité à s'inscrire au chômage. Il mentionne toutefois une restriction pour une activité d'aide-paysagiste, "car il n'est physiquement pas bien préparé et, deuxièmement, on ne sait pas si ses hyperalgésies ont peut-être une répercussion sur sa proprioception et pourrait augmenter le risque d'accident". Dans un rapport établi sur la formule officielle le 29 octobre 2018, le Dr F.________ reprend les diagnostics précités (R20.8 et F80.0) et renvoie en substance à son courrier du 8 octobre précédent, évoquant principalement la nécessité d'un accompagnement du fait des troubles langagiers. Le 19 novembre 2018, le Dr I.________, médecin SMR, prend position sur ces derniers rapports. Selon lui, "ni un déconditionnement, ni une «suspicion de…» ne sauraient constituer une atteinte à la santé durable au sens de l'art. 4 LAI. Les troubles relatés par le Dr F.________ se situent très vraisemblablement dans le registre des «syndromes sans pathogenèse ni étiologie claire et sans constat de déficit organique». Les seules limitations fonctionnelles attestées par le Dr F.________ sont du registre neuropsychologique, en lien avec les troubles des acquisitions scolaires déjà investiguées". Il conclut dès lors à l'absence de pathologie somatique organique justifiant une incapacité de travail durable. Seule l'atteinte neuropsychologique est déterminante et l'exigibilité précédemment fixée demeure valable. Dans un courrier du 4 avril 2019 adressé à l'OAI, le Dr F.________ s'étonne de la décision rendue par l'OAI. Se référant en particulier à une circulaire, il relève que les troubles du langage diagnostiqués de longue date ainsi que la récente atteinte à l'hémicorps justifieraient que l'OAI intervienne en faveur de cet assuré. Il précise à cet égard que, dans son dernier rapport, il confirmait une évolution favorable avec un accompagnement.</w:t>
      </w:r>
    </w:p>
    <w:p>
      <w:r>
        <w:rPr>
          <w:b/>
        </w:rPr>
        <w:t>E. 3.2</w:t>
      </w:r>
    </w:p>
    <w:p>
      <w:r>
        <w:t>En l'espèce, la situation du recourant comporte deux aspects principaux: le premier, neuropsychologique, lié aux problèmes apparus dès l'enfance et le second, somatique, découlant de l'atteinte au genou survenue durant l'école de recrue, en 2017. Sur le plan neuropsychologique, il convient de se référer à l'expertise rédigée par la neuropsychologue E.________ en mars 2018. Ce document, récent, donne une vision claire et exhaustive de la situation du recourant, lequel n'en remet d'ailleurs pas en question les conclusions, à raison. L'examen auquel s'est livrée la neuropsychologue est tout à fait convaincant et la Cour ne voit nul motif de s'en écarter. C'est toutefois dans ce contexte que le recourant allègue la nécessité de l'intervention d'un psychiatre, se fondant en cela sur les propos de l'experte, qui mentionne notamment certains traits de caractère, ainsi que des difficultés relationnelles et sociales, susceptibles d'entraver sa réinsertion. Il se réfère au surplus au dernier rapport du Dr F.________ et estime que ses troubles au genou se situent dans le registre des syndromes sans pathogenèse ni étiologie claire et sans constat de déficit organique, ce qui justifierait l'application de la grille d'examen structurée établie par la jurisprudence fédérale. Dans le cadre du volet somatique, le recourant soutient par ailleurs que "le dossier constitué ne permet pas d'établir avec certitude que l'atteinte au genou droit dont [il] est victime (…) ne l'empêche pas d'exercer l'activité pour laquelle il a été formé (aide-paysagiste)". Il se réfère à cet égard au dernier rapport du Dr F.________.</w:t>
      </w:r>
    </w:p>
    <w:p>
      <w:r>
        <w:t>Tribunal cantonal TC Page 8 de 10 Il convient donc d'examiner si des investigations supplémentaires auraient dû être menées par l'OAI, sur le plan psychiatrique et/ou somatique.</w:t>
      </w:r>
    </w:p>
    <w:p>
      <w:r>
        <w:rPr>
          <w:b/>
        </w:rPr>
        <w:t>E. 3.3</w:t>
      </w:r>
    </w:p>
    <w:p>
      <w:r>
        <w:t>Dans son expertise, la neuropsychologue E.________ mentionne effectivement l'éventualité d'un traitement psychothérapeutique ainsi que la pertinence d'un avis psychiatrique. A l'instar de l'autorité intimée, la Cour constate qu'il ne s'agit que d'une recommandation, liée à la présence de "légères difficultés relationnelles et de cognition sociale", ce qui tend à démontrer le caractère tout relatif de cette problématique. Cela est notamment corroboré par la mention suivante, dans l'évaluation médicale (point 7.1 de l'expertise): "Sur le plan psychique, l'assuré ne rapporte pas de trouble de l'humeur ni de signes anxieux, il n'y a pas de suspicion de trouble psychique". Néanmoins, l'experte mentionne un certain nombre d'éléments liés à la personnalité de l'expertisé: elle en attribue certains (impulsivité, digression et distractibilité) au trouble de l'attention, ajoutant qu'une amélioration pourrait vraisemblablement être obtenue moyennant une médication adéquate. Elle ne peut par contre pas écarter que d'autres éléments (difficultés de reconnaissance d'expressions faciales émotionnelles, retrait social, difficultés relationnelles) puissent relever d'un trouble de la personnalité surajouté, raison pour laquelle elle juge digne d'intérêt une investigation psychiatrique. Dans ce contexte, la Cour juge utile de mettre en exergue la mention par le Dr F.________, en octobre 2018, d'une problématique psychogène en rapport avec le genou droit, qui vient jeter un doute supplémentaire dans le contexte psychiatrique général, doute entretenu par le rapport ultérieur du médecin SMR, qui établit un lien entre le diagnostic posé par le Dr F.________ et l'éventualité d'un trouble de type somatoforme, sans toutefois n'en tirer aucune conclusion. Ledit médecin SMR ne fait en outre aucune mention de la problématique psychiatrique évoquée par la neuropsychologue. Une certaine ambiguïté ressort également du déroulement de l'instruction sous l'angle somatique: l'évolution délicate du genou droit a justifié la tenue d'investigations complémentaires (cf. notamment rapport SMR de mai 2018). Le service d'orthopédie de H.________ a ainsi été consulté mais, dans son rapport du mois de juillet 2018, le Dr J.________ estime qu'un avis rhumatologique est nécessaire. Or, avant que le Dr F.________ ne remette son rapport, l'assurance militaire a décidé de mettre fin à ses prestations (p. 556 dossier AI), en considérant que l'atteinte au genou est guérie et que l'assuré est en mesure d'exercer son activité d'aide- paysagiste sans restriction. Quant à l'OAI, il recueillera les documents remis en octobre 2018 par le Dr F.________, mais considérera qu'"il n'y a pas de pathologie somatique organique justifiant une incapacité de travail durable au sens de l'AI". On peut certes concéder que les rapports du médecin précité manquent de clarté: le rapport établi sur la formule officielle (p. 561 ss dossier AI) met l'accent sur les difficultés neuropsychologiques du recourant (lecture, écriture, langage) et la nécessité d'accompagnement qui en découle, soit des éléments qui sortent de son domaine de compétence et qui ont déjà été discutés, de façon probante, par l'experte en neuropsychologie. Dans un rapport plus détaillé remis en annexe (p. 566 dossier AI), il évoque l'évolution défavorable du genou droit, avec l'apparition d'un trouble de la sensibilité de l'hémicorps droit, mais sans CRPS (lequel était suspecté par le Dr J.________). La Cour note à cet égard que la problématique liée à l'hyperesthésie est avant tout mentionnée dans la cadre de l'anamnèse et provient donc principalement des déclarations de l'assuré. Dans son appréciation, le Dr F.________ est très nuancé: bien qu'évoquant la présence d'un trouble de la sensibilité de l'hémicorps droit type plutôt psychogène, il se concentre ensuite</w:t>
      </w:r>
    </w:p>
    <w:p>
      <w:r>
        <w:t>Tribunal cantonal TC Page 9 de 10 sur la composante neuropsychologique et conclut en retenant son patient est apte au travail à 100%, raison pour laquelle il a invité celui-ci à s'inscrire au chômage. Il précise toutefois que tel n'est pas le cas dans la profession apprise, en raison d'une préparation physique insuffisante et de l'incertitude de l'impact des hyperalgésies; il juge par contre exigible une activité de livreur. Dès lors, la conclusion de l'OAI, se fondant sur l'avis de son médecin SMR, selon laquelle l'assuré serait en mesure de reprendre une activité professionnelle d'aide-paysagiste, avec un rendement réduit de 20% pour des motifs neuropsychologiques, paraît ne pas tenir compte de l'ensemble des éléments précités: sur le plan somatique, les investigations réalisées n'ont certes pas (encore) permis d'objectiver l'origine des douleurs alléguées par l'assuré. Il n'en demeure pas moins que, comme l'a d'ailleurs relevé le médecin SMR, une composante somatoforme ne peut pas être exclue et aurait méritée d'être examinée. Ce d'autant plus que le Dr F.________ a expressément exclu la reprise de l'activité apprise en raison notamment de l'incertitude liée à cette atteinte, ce qui peut laisser entendre que la formation achevée fin 2016 pourrait ne plus être adaptée à la santé du recourant. Les cautèles mentionnées par la neuropsychologue E.________ sur le plan psychiatrique viennent corroborer la nécessité d'un examen sous cet angle. Le tableau brossé par cette dernière, de façon très nuancée, permet effectivement de nourrir certains doutes sur les réelles capacités de l'assuré, notamment au niveau de sa personnalité. De l'avis de la Cour, une évaluation tant somatique (orthopédie et/ou rhumatologie) que psychiatrique est inéluctable et permettra de déterminer, de manière cohérente, la capacité de travail de cet assuré. Vu ce qui précède, la question de la nécessité d'éventuelles mesures professionnelles supplémentaires, de même que celle du calcul du degré d'invalidité, peuvent demeurer ouvertes et devront à nouveau être examinées à l'aune des résultats des nouvelles investigations médicales. La Cour se permet cependant de relever que, sur la base du dossier en sa possession, il semble qu'une aide au placement serait à tout le moins indiquée. Compte tenu de l'âge de l'assuré et de la présence de difficultés neuropsychologiques avérées, susceptibles d'entraver ou, tout au moins, de compliquer la recherche d'un emploi (difficultés verbales et d'écriture), il semble qu'un soutien à cet égard se justifie. La Cour retient dès lors que des doutes suffisants persistent et que des investigations supplémentaires s'avèrent nécessaires, tant sur le plan psychiatrique que somatique.</w:t>
      </w:r>
    </w:p>
    <w:p>
      <w:r>
        <w:rPr>
          <w:b/>
        </w:rPr>
        <w:t>E. 4.1</w:t>
      </w:r>
    </w:p>
    <w:p>
      <w:r>
        <w:t>Au vu de ce qui précède, le recours doit ainsi être admis et la décision querellée annulée. L'affaire doit être renvoyée à l'OAI pour complément d'instruction au sens des considérants et nouvelle décision, dès lors que l'autorité intimée n'a notamment pas du tout investigué le volet psychiatrique (cf. ATF 137 V 210).</w:t>
      </w:r>
    </w:p>
    <w:p>
      <w:r>
        <w:rPr>
          <w:b/>
        </w:rPr>
        <w:t>E. 4.2</w:t>
      </w:r>
    </w:p>
    <w:p>
      <w:r>
        <w:t>Les frais de justice sont fixés à CHF 800.- et mis à la charge de l'OAI, qui succombe. L'avance de frais du même montant versée par le recourant lui est remboursée.</w:t>
      </w:r>
    </w:p>
    <w:p>
      <w:r>
        <w:rPr>
          <w:b/>
        </w:rPr>
        <w:t>E. 4.3</w:t>
      </w:r>
    </w:p>
    <w:p>
      <w:r>
        <w:t>Le recourant a droit à des dépens entiers (art. 61 let. g LPGA), dès lors qu'un renvoi pour instruction équivaut à un gain de cause total de ce point de vue (ATF 137 V 57; 133 V 450). La mandataire du recourant a produit, le 24 septembre 2019, une note d'honoraires comprenant des honoraires de CHF 3'812.30 (15h15 à CHF 250.-), des débours de CHF 190.60 (correspondant à un forfait de 5%), CHF 315.90 à titre de TVA à 7,7%, CHF 800.- correspondant à l'avance de frais et enfin CHF 100.- au titre de "frais administratifs".</w:t>
      </w:r>
    </w:p>
    <w:p>
      <w:r>
        <w:t>Tribunal cantonal TC Page 10 de 10 L'indemnité de partie est fixée conformément aux art. 137 ss du code fribourgeois du 23 mai 1991 de procédure et de juridiction administrative (CPJA; RSF 150.1) et aux art. 8 ss du tarif cantonal du 17 décembre 1991 des frais de procédure et des indemnités en matière de juridiction administrative (Tarif/JA; RSF 150.12). Il s'ensuit que la part relative à l'avance de frais doit en être écartée, dès lors qu'elle est remboursée au recourant (cf. supra). S'agissant des frais administratifs (CHF 100.-), correspondant semble-t-il à des frais d'ouverture de dossier et d'archivage, et des débours forfaitaires, la Cour rappelle que la fixation à forfait des débours, valable en matière civile, ne correspond pas aux exigences du Tarif/JA. De ce fait, l'indemnité de partie est fixée comme suit: CHF 3'812.50 d'honoraires (15h15 à CHF 250.-), CHF 190.- de débours, CHF 308.20 à titre de TVA à 7,7%, soit un total de CHF 4'310.70. Cette indemnité est mise intégralement à la charge de l'autorité intimée et sera directement versée à la mandataire du recourant (art. 141 CPJA). la Cour arrête : I. Le recours est admis et la décision attaquée annulée. Partant, la cause est renvoyée à l'autorité intimée, pour instruction au sens des considérants et nouvelle décision II. Les frais de procédure, par CHF 800.-, sont mis à la charge de l'Office de l'assurance- invalidité du canton de Fribourg. III. L'avance de frais de CHF 800.- versée par le recourant lui est restituée. IV. Il est alloué au recourant pour ses frais de défense une indemnité de CHF 3'812.50, plus CHF 190.- de débours, plus CHF 308.20 au titre de la TVA à 7.7%, soit un total de CHF 4'310.70. Elle est mise intégralement à la charge de l'Office de l’assurance-invalidité du canton de Fribourg et sera directement versée à Me Riat.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octobre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