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312 vom 13. Mai 2020</w:t>
      </w:r>
    </w:p>
    <w:p>
      <w:r>
        <w:t>FR Kantonsgericht, 2020-05-13, FR</w:t>
      </w:r>
    </w:p>
    <w:p>
      <w:r>
        <w:rPr>
          <w:b/>
        </w:rPr>
        <w:t xml:space="preserve">Quelle: </w:t>
      </w:r>
      <w:r>
        <w:t>https://mcp.opencaselaw.ch/entscheid/fr_gerichte_608_2019_312</w:t>
      </w:r>
    </w:p>
    <w:p>
      <w:r>
        <w:t>FR: FR_GERICHTE 608 2019 312 du 13 mai 2020</w:t>
      </w:r>
    </w:p>
    <w:p>
      <w:r>
        <w:t>IT: FR_GERICHTE 608 2019 312 del 13 maggio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t>Tribunal cantonal TC Page 3 de 8</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Les atteintes à la santé psychique peuvent, comme les atteintes physiques, entraîner une invalidité au sens de l'art. 4 al. 1 LAI en liaison avec l'art. 8 LPGA. La reconnaissance de l'existence d'une atteinte à la santé psychique suppose la présence d'un diagnostic émanant d'un expert (psychiatre) et s'appuyant lege artis sur les critères d'un système de classification reconnu (ATF 130 V 346 consid. 5.3 et 6).</w:t>
      </w:r>
    </w:p>
    <w:p>
      <w:r>
        <w:rPr>
          <w:b/>
        </w:rPr>
        <w:t>E. 2.2</w:t>
      </w:r>
    </w:p>
    <w:p>
      <w:r>
        <w:t>D'après une jurisprudence constante, ce n'est pas l'atteinte à la santé en soi qui est assurée, ce sont bien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w:t>
      </w:r>
    </w:p>
    <w:p>
      <w:r>
        <w:rPr>
          <w:b/>
        </w:rPr>
        <w:t>E. 2.3</w:t>
      </w:r>
    </w:p>
    <w:p>
      <w:r>
        <w:t>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135 V 297; 126 V 75; 124 V 321 consid. 3b/aa). A cet égard, il convient en principe de se référer au salaire mensuel brut (valeur centrale) pour tous les secteurs économiques confondus de l'économie privée (arrêt TF 9C_214/2009 du 11 mai 2009 consid. 5.2). Dans la mesure où les salaires tirés de l'ESS sont en principe déterminés en fonction d'un horaire de 40 heures par semaine, le Tribunal fédéral a estimé qu'il</w:t>
      </w:r>
    </w:p>
    <w:p>
      <w:r>
        <w:t>Tribunal cantonal TC Page 4 de 8 fallait les rapporter à la durée hebdomadaire de travail durant l'année considérée (arrêt TF 9C_666/2009 du 26 février 2010 consid. 3.2).</w:t>
      </w:r>
    </w:p>
    <w:p>
      <w:r>
        <w:rPr>
          <w:b/>
        </w:rPr>
        <w:t>E. 2.4</w:t>
      </w:r>
    </w:p>
    <w:p>
      <w:r>
        <w:t>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 25 janvier 1989 consid. 4a, in RCC 1989 p. 328).</w:t>
      </w:r>
    </w:p>
    <w:p>
      <w:r>
        <w:rPr>
          <w:b/>
        </w:rPr>
        <w:t>E. 2.5</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voir aussi ATF 138 I 205 consid. 3.2). En outre,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w:t>
      </w:r>
    </w:p>
    <w:p>
      <w:r>
        <w:t>Tribunal cantonal TC Page 5 de 8 valeur probante n'est ni l'origine du moyen de preuve ni sa désignation comme rapport ou comme expertise, mais bel et bien son contenu (ATF 125 V 351).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3.1</w:t>
      </w:r>
    </w:p>
    <w:p>
      <w:r>
        <w:t>En l'espèce, la recourante ne remet pas en cause le fait que l'activité d'agricultrice n'est plus exigible de sa part en raison de ses troubles orthopédiques, ni la valeur probante des expertises orthopédiques et de médecine interne générale, en particulier s'agissant de la pleine capacité de travail dans une activité adaptée qu'elles ont retenu. Elle ne conteste par ailleurs ni le revenu de valide, ni l'utilisation des salaires statistiques pour le calcul du revenu d'invalide. Tous ces éléments ont au demeurant été correctement établis. L'assurée dénie par contre toute valeur probante à la partie psychiatrique de l'expertise pluridisciplinaire, l'expert n'ayant à son sens pas suffisamment pris en compte sa biographie difficile. Elle estime que sa capacité de travail de ce point de vue est d'au plus de 30% et revendique ainsi une rente entière d'invalidité.</w:t>
      </w:r>
    </w:p>
    <w:p>
      <w:r>
        <w:rPr>
          <w:b/>
        </w:rPr>
        <w:t>E. 3.2</w:t>
      </w:r>
    </w:p>
    <w:p>
      <w:r>
        <w:t>L'expertise psychiatrique a été réalisée par le Dr D.________, spécialiste en psychiatrie et psychothérapie. A la lecture de ce document, on constate que l'expert s'est basé sur le dossier médical complet de l'assurée. Il a également procédé à un examen sur sa personne avant l'établissement de l'expertise, donnant la possibilité à la recourante de s'exprimer à chaque occasion. Il a en outre demandé des renseignements à sa psychiatre traitante. Enfin, les conclusions sont dûment motivées. Le rapport a ainsi été établi en pleine connaissance de l'anamnèse, il tient compte des plaintes exprimées par l'assurée et est le résultat d'examens complets. En particulier, la recourante ne saurait être suivie lorsqu'elle soutient que le Dr D.________ aurait retenu faussement des éléments, comme le fait qu'elle n'aurait pas été hospitalisée à l'âge adulte ou qu'elle n'aurait pas pris de médicaments. Ces faits se retrouvent en réalité à plusieurs reprises dans l'anamnèse de l'expert, qui relève plusieurs hospitalisations et indique que l'assurée ne prend pas de médicaments au moment de l'expertise (expertise psychiatrique p. 8 à 10, dossier OAI p. 151ss). Quant à la tendance à l'addiction aux médicaments, elle ne ressort pas du dossier. Ainsi, les faits retenus par le Dr D.________ ne sont ni déformés ni faux, et se retrouvent dans les autres parties de l'expertise pluridisciplinaire et dans les rapports médicaux des médecins, y compris ceux de la Dresse E.________. Enfin, le seul fait que l'autorité intimée rétribue les experts ne suffit pas à lui seul à démontrer leur partialité, d'autant plus que, dans le cadre d'une expertise pluridisciplinaire, sa mise sur pied, dont le choix des experts, se fait selon le principe du hasard (cf. ATF 137 V 210). Il faut dès lors admettre que l'expertise psychiatrique est en tous points conforme aux réquisits jurisprudentiels et qu'elle a en soi pleine valeur probante. Reste à déterminer si ses conclusions sont convaincantes. Contrairement à la Dresse E.________, spécialiste en psychiatrie et psychothérapie et psychiatre traitante de l'assurée, qui diagnostique un trouble de l'humeur, l'expert retient un trouble de la</w:t>
      </w:r>
    </w:p>
    <w:p>
      <w:r>
        <w:t>Tribunal cantonal TC Page 6 de 8 personnalité émotionnellement labile de type borderline (F60.31). Pour ce faire, il se base sur la même anamnèse et prend en compte les mêmes éléments que la psychiatre traitante. Il pose cependant ce diagnostic en fonction de son examen clinique et non sur la base des tests psychologiques réalisés par la Dresse E.________, laquelle avait toutefois au préalable également retenu le trouble de la personnalité admis par l'expert (rapport du 16 août 2017, dossier OAI p. 24). La jurisprudence fédérale considérant que ces tests ne constituent qu'un complément d'examen clinique et que seul l'examen clinique en connaissance de l'anamnèse est déterminant (cf. arrêts TF 8C_659/2013 du 4 juin 2014 consid. 4.3; 8C_639/2011 du 5 janvier 2012 consid. 4.3.1), il n'y a pas lieu de s'écarter du diagnostic du Dr D.________ pour ce seul motif. Au surplus, F.________ a également retenu, dans son rapport du 19 janvier 2018, une personnalité émotionnellement labile de type borderline (F60.31) et a nié un trouble de l'humeur (dossier OAI p. 50). Quoi qu'il en soit, rappelons que les diagnostics ne sont en soi pas relevants et que c'est bien plus leur effet sur la capacité de travail de l'assuré qui est déterminant. Quant à cette dernière, F.________ l'estime à 50% tant dans l'activité d'agricultrice que dans une activité adaptée, en précisant que la recourante n'a pas les ressources sur le plan psychologique pour un emploi à plein temps en raison de son instabilité psychique (rapport du 19 janvier 2018, dossier OAI p. 50). La Dresse E.________ se pose d'abord la question de savoir si l'assurée pourrait travailler à plus de 50% (rapport du 14 juillet 2017, dossier OAI p. 24), avant d'estimer sa capacité de travail au maximum à 30%, non pas d'une manière continue sur la durée, la recourante ayant besoin de son rythme pour travailler (réponse aux questions, expertise psychiatrique, dossier OAI p. 153). L'expert-psychiatre relève quant à lui que le trouble de la personnalité a entraîné des décompensations à des moments précis de la vie de l'assurée, mais que sa capacité de travail est de 100% au moins depuis qu'elle a trouvé une stabilité il y a environ trois ans, avec la possibilité d'une prise de médicaments psychotropes en cas de décompensation, relevant à cet égard qu'elle a bien réagi aux antidépresseurs après ses séparations (expertise psychiatrique, dossier OAI p. 155). Force est dès lors de constater que les conclusions de l'expertise psychiatrique, basée sur l'examen clinique et dûment motivées, sont convaincantes et ne peuvent pas être remises en cause par les constatations des autres médecins. C'est en particulier le cas pour la capacité de travail. D'abord estimée à 50% par F.________ en raison de l'instabilité psychique de la recourante, cette instabilité a ensuite disparu depuis environ trois ans, soit depuis sa rencontre avec son mari, et permet une capacité de 100% selon les conclusions de l'expertise. Il y a dès lors lieu de retenir une pleine capacité de travail dès le 1er avril 2017 du point de vue psychiatrique.</w:t>
      </w:r>
    </w:p>
    <w:p>
      <w:r>
        <w:rPr>
          <w:b/>
        </w:rPr>
        <w:t>E. 3.3</w:t>
      </w:r>
    </w:p>
    <w:p>
      <w:r>
        <w:t>Le courrier du 15 juillet 2019 de la Dresse E.________ ne change rien à cette appréciation. L'essentiel des éléments qu'elle soulève ressort en effet déjà des précédents rapports médicaux et de l'expertise pluridisciplinaire. Elle y ajoute le fait que la recourante n'est pas restée stable depuis qu'elle est en couple, du fait de l'existence de décompensations à répétition et de situations conflictuelles avec la belle-famille. On s'étonne cependant que ces éléments ne figurent pas dans les précédents rapports médicaux ni même dans sa réponse aux questions du Dr D.________. Cela étant, la recourante n'a plus subi d'hospitalisation pour des motifs psychiques depuis 2016 environ et, mis à part des consultations auprès de sa psychiatre traitante, elle ne prend pas de médicament psychotrope, démontrant également la stabilité de son état de santé de ce point de vue. Quant à une addiction aux drogues, s'il ressort des rapports médicaux que la recourante en a effectivement consommé à la fin de sa scolarité obligatoire, rien n'indique qu'elle y ait été dépendante et qu'un tel risque soit encore présent. Au contraire, F.________ affirme qu'il n'y a</w:t>
      </w:r>
    </w:p>
    <w:p>
      <w:r>
        <w:t>Tribunal cantonal TC Page 7 de 8 plus de comportements à risque pour sa santé (rapport du 19 janvier 2018 de F.________, dossier OAI p. 50) et l'assurée a elle-même indiqué au Dr D.________ qu'elle avait cessé de prendre des drogues sans difficulté et qu'elle n'a pas envie d'y retoucher (expertise psychiatrique, dossier OAI p. 151). Le fait que la Dresse E.________, en réponse aux questions de l'expert, mentionne que la recourante a abusé des médicaments dans le passé, ce qui n'implique pas encore une dépendance, ne change dès lors rien à ce qui précède. Pour terminer, on ne voit pas en quoi la réponse du 23 octobre 2019 du Dr D.________ et de la directrice médicale de C.________ SA au courrier du 15 juillet 2919 de la Dresse E.________ démontrerait un certain malaise, l'expert n'ayant pas l'obligation de répondre en détail à toutes les critiques. Son caractère succinct en particulier n'est pas relevant, dès lors que le spécialiste renvoie à son expertise et ne fait que rappeler l'absence d'hospitalisation en milieu psychiatrique à l'âge adulte et de prise de médicament psychotrope malgré la description clinique de la Dresse E.________, ainsi qu'une différence entre ses appréciations cliniques et celles de la Dresse E.________. Ainsi, la Cour de céans retient que l'assurée ne présente pas d'incapacité de travail du point de vue psychique, comme le soutient l'expert, de sorte qu'au final, une activité adaptée aux troubles orthopédiques est exigible de sa part à 100%. Une nouvelle expertise psychiatrique n'est pas nécessaire, dès lors qu'on ne voit pas ce qu'elle apporterait de plus.</w:t>
      </w:r>
    </w:p>
    <w:p>
      <w:r>
        <w:rPr>
          <w:b/>
        </w:rPr>
        <w:t>E. 4</w:t>
      </w:r>
    </w:p>
    <w:p>
      <w:r>
        <w:t>Au vu de ce qui précède, le recours est rejeté et la décision litigieuse confirmée. La procédure n'étant pas gratuite, les frais de procédure, par CHF 800.-, sont mis à la charge de la recourante qui succombe. Ils sont compensés par l'avance de frais du même montant versée le 16 décembre 2019. Vu l'issue de la procédure, il n'est pas alloué de dépens. la Cour arrête : I. Le recours est rejeté. II. Les frais de procédure, par CHF 800.-, sont mis à la charge de A.________. Ils sont compensés par l'avance de frais versée le 16 décembre 2019. III. Il n'est pas alloué de dépens. IV. Notification.</w:t>
      </w:r>
    </w:p>
    <w:p>
      <w:r>
        <w:t>Tribunal cantonal TC Page 8 de 8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mai 2020/cso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