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309 vom 25. Mai 2020</w:t>
      </w:r>
    </w:p>
    <w:p>
      <w:r>
        <w:t>FR Kantonsgericht, 2020-05-25, FR</w:t>
      </w:r>
    </w:p>
    <w:p>
      <w:r>
        <w:rPr>
          <w:b/>
        </w:rPr>
        <w:t xml:space="preserve">Quelle: </w:t>
      </w:r>
      <w:r>
        <w:t>https://mcp.opencaselaw.ch/entscheid/fr_gerichte_608_2019_309</w:t>
      </w:r>
    </w:p>
    <w:p>
      <w:r>
        <w:t>FR: FR_GERICHTE 608 2019 309 du 25 mai 2020</w:t>
      </w:r>
    </w:p>
    <w:p>
      <w:r>
        <w:t>IT: FR_GERICHTE 608 2019 309 del 25 maggio 2020</w:t>
      </w:r>
    </w:p>
    <w:p>
      <w:pPr>
        <w:pStyle w:val="Heading2"/>
      </w:pPr>
      <w:r>
        <w:t>Regeste</w:t>
      </w:r>
    </w:p>
    <w:p>
      <w:r>
        <w:t>Arrêt de la IIe Cour des assurances sociales du Tribunal cantonal | Invalidenversicherung</w:t>
      </w:r>
    </w:p>
    <w:p>
      <w:pPr>
        <w:pStyle w:val="Heading2"/>
      </w:pPr>
      <w:r>
        <w:t>Erwägungen</w:t>
      </w:r>
    </w:p>
    <w:p>
      <w:r>
        <w:rPr>
          <w:b/>
        </w:rPr>
        <w:t>E. 6</w:t>
      </w:r>
    </w:p>
    <w:p>
      <w:r>
        <w:t>juin 2016, l'assurée était à nouveau en mesure d'exercer une activité légère adaptée, à 100% avec une diminution de rendement de 20% en raison des douleurs chroniques. Pour la partie ménagère, l'invalidité a été considérée comme nulle, en fonction des éléments figurant dans le rapport d'enquête ménagère à domicile. L'OAI a en outre fait application de la nouvelle réglementation en vigueur dès le 1er janvier 2018 en matière de méthode mixte (extrapolation à 100% de l'activité lucrative à temps partiel). Il est parvenu, au final, à un degré d'invalidité inférieur à 40% pour l'ensemble des périodes concernées et a, partant, refusé de prester. B. Contre cette décision, A.________, représentée par Me Charles Guerry, avocat, interjette recours auprès du Tribunal cantonal le 25 novembre 2019. Elle conclut, principalement, à l'octroi d'une rente entière d'invalidité dès le 1er février 2015 et, subsidiairement, au renvoi du dossier à l'autorité intimée pour mise en œuvre d'une expertise orthopédique. A l'appui de ses conclusions, elle remet tout d'abord en question la pondération de l'activité lucrative, alléguant que, si elle n'avait pas été invalide, elle aurait travaillé à 70%. Par un deuxième argument, elle réfute le fait qu'elle aurait retrouvé une pleine capacité de travail dès le 6 juin 2016. Elle allègue à cet égard l'absence de documents médicaux prouvant que son état de santé se serait sensiblement amélioré à cette date. Le 6 décembre 2019, elle s'est acquittée d'une avance de frais de CHF 800.-. Dans ses observations du 13 décembre 2019, l'OAI se réfère au contenu de sa décision et conclut au rejet du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par une assurée directement touchée par la décision attaquée et dûment représentée, le recours est recevable.</w:t>
      </w:r>
    </w:p>
    <w:p>
      <w:r>
        <w:t>Tribunal cantonal TC Page 4 de 12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L'incapacité de travail évoquée à l'art. 28 al. 1 let. b LAI consiste en la perte fonctionnelle, due à une atteinte à la santé, de la capacité de rendement de l'assuré dans sa profession ou son champ d'activité habituel. Il n'y a donc pas lieu, contrairement à de qui prévaut dans le cadre de l'évaluation de l'invalidité, de se référer à l'ensemble du marché du travail et au devoir de l'assuré de réduire le dommage (ATF 130 V 97 consid. 3.2; VALTERIO, Commentaire de la loi fédérale sur l'assurance-invalidité, art. 28 n° 9 p. 388). D'après l'art. 29ter du règlement du 17 janvier 1961 sur l'assurance-invalidité (RAI; RS 831.201), il y a interruption notable de l’incapacité de travail au sens de l’art. 28 al. 1 let. b LAI lorsque l’assuré a été entièrement apte au travail pendant 30 jours consécutifs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Aux termes de l'art. 29 al. 3 LAI, la rente est versée dès le début du mois au cours duquel le droit prend naissance. 2.2.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125 V 413 consid. 2d; arrêts TF 9C_344/2010 du 1er février 2011 consid. 4.2 et 9C_266/2010 du 8 octobre 2010 consid. 3.3). En revanche, l'art. 88bis RAI n'est pas applicable dans cette éventualité, du moment que l'on ne se trouve pas en présence d'une révision de la rente au sens strict (ATF 125 V 413 consid. 2d; arrêt TF I 621/04 du 12 octobre 2005 consid. 3.2). En vertu de l'art.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L'art. 88a al. 2 RAI prévoit quant à lui que si l'incapacité de gain s'aggrave, il y a lieu de considérer que ce changement accroît, le cas échéant, le droit aux prestations de l'assuré dès qu'il a duré trois mois sans interruption notable.</w:t>
      </w:r>
    </w:p>
    <w:p>
      <w:r>
        <w:t>Tribunal cantonal TC Page 5 de 12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 2.3.1.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w:t>
      </w:r>
    </w:p>
    <w:p>
      <w:r>
        <w:rPr>
          <w:b/>
        </w:rPr>
        <w:t>E. 8</w:t>
      </w:r>
    </w:p>
    <w:p>
      <w:r>
        <w:t>août 2008 consid. 3.2). La réponse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(arrêts TF 9C_62/2011 du 16 août 2011 consid. 4 et 9C_667/2007 du 12 juin 2008 consid. 3). 2.3.2.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w:t>
      </w:r>
    </w:p>
    <w:p>
      <w:r>
        <w:t>Tribunal cantonal TC Page 6 de 12 Suite à cet arrêt, le Conseil fédéral a modifié l'art. 27bis al. 2 à 4 RAI, entré en vigueur le 1er janvier 2018. Cet article, applicable au cas d'espèce, la décision ici attaquée étant postérieure à son entrée en vigueur,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 2.4.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w:t>
      </w:r>
    </w:p>
    <w:p>
      <w:r>
        <w:t>Tribunal cantonal TC Page 7 de 12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3. La recourante conteste l'existence d'une pleine capacité de travail dans une activité adaptée à partir du 1er juin 2016. Il convient de se référer au dossier médical, dans le but de déterminer l'évolution de son état de santé. Dans la mesure où le litige ne porte que sur la problématique orthopédique découlant des séquelles de son opération au pied (hallux valgus), il n'est pas nécessaire de s'intéresser aux rapports touchant à la sphère psychiatrique, laquelle a quoi qu'il en soit fait l'objet d'une expertise dont les conclusions n'ont pas été contestées. De même, la recourante ne conteste pas ne subir aucun empêchement dans l'accomplissement de ses tâches ménagères à partir du printemps 2016. 3.1. Le rapport médical primordial en l'espèce est celui établi le 6 juin 2016 par le Dr F.________, spécialiste en médecine physique et réadaptation (dossier AI p. 92). C'est en effet sur celui-ci que l'OAI s'est fondé pour fixer la date de l'amélioration de l'état de santé de la recourante, amélioration que cette dernière conteste précisément. A l'anamnèse, ce médecin rappelle que la patiente se plaint d'une douleur mécanique depuis une intervention pour un hallux valgus avec exostose latérale au pied gauche. "Elle a de la peine à dérouler le pied et ni physio ni médicament la soulagent suffisamment. A force d'avoir des douleurs chroniques à la marche, elle a développé un état anxio-dépressif et une fatigue générale […]". Au terme de son examen clinique, il confirme que "le problème de A.________ remonte effectivement à son opération correctrice. La patiente a eu un double problème tel qu'une arthrose et un valgus plus une exostose latérale". Il explique que la présence d'arthrose nécessitait une prise en charge</w:t>
      </w:r>
    </w:p>
    <w:p>
      <w:r>
        <w:t>Tribunal cantonal TC Page 8 de 12 spécifique lors de l'intervention chirurgicale, à savoir qu'il aurait fallu décomprimer l'articulation, ce qui n'a pas été fait et qui a conduit à une décompensation de l'arthrose. Une infiltration a permis de diminuer partiellement (30 à 50%) les douleurs dans l'articulation, mais non celles venant de la partie distale, difficiles à expliquer. "Sur le plan thérapeutique, je n'ai pas grand-chose à proposer. Les mesures de médecine physique et rééducation ne vont guère régler ce problème. A mon avis, il faudrait représenter ce pied à un chirurgien du pied afin de voir s'il ne faudrait pas faire une arthrodèse. J'ai encore oublié de mentionner qu'il y a aussi un défaut de rotation dans la partie distale causant un déplacement des os sésamoïdes". Le 20 mars 2017 (dossier AI p. 102), le Dr G.________ considère que le rapport ci-dessus "est détaillé et médicalement cohérent : il propose une intervention chirurgicale à cette assurée afin d'améliorer la situation locale pour son pied gauche. La situation médicale à ce niveau me paraît claire, une expertise orthopédique n'apportera probablement aucune nouvelle information médicale, une consultation chez un chirurgien du pied suffira à faire bénéficier l'assurée d'un traitement approprié". Le 4 septembre suivant (dossier AI p. 160), ce même médecin réitère sa recommandation en vue d'orienter l'assurée vers un orthopédiste spécialiste du pied. Il estime qu'il faut d'abord que l'assurée puisse bénéficier d'un traitement approprié, car c'est l'impotence à la marche qui est responsable de l'incapacité de travail; ce n'est qu'ensuite que la question d'une activité adaptée pourra être discutée. Dans un rapport du 21 septembre 2017 (dossier AI p. 179), le Dr J.________, spécialiste en radiologie, donne le résultat des clichés du pied gauche de l'assurée. "On retrouve un status après probable chirurgie de la partie distale du premier métatarsien avec une légère atteinte dégénérative de l'articulation métatarso-phalangienne de ce premier rayon. Pas d'autre atteinte ostéo-chondrale significative. A noter une calcification dense à l'intersection calcanéenne du fascia plantaire". Le 27 septembre 2017 (dossier AI p. 179), le Dr I.________, spécialiste en chirurgie orthopédique et traumatologique de l'appareil locomoteur, partage l'avis de son confrère F.________ concernant l'origine des douleurs de l'assurée. Il ajoute qu'il est probable qu'en cours d'intervention, "les nerfs cutanés médiaux de l'hallux aient été lésés, ce qui provoque actuellement une importante hypersensibilité et dysesthésie locale". Il en déduit ce qui suit: "Pour moi, actuellement la seule prise en charge raisonnable que l'on pourrait proposer à A.________ serait tout d'abord de s'occuper de ces lésions neurologiques avant d'envisager un quelconque geste chirurgical, car en effet si l'on s'aventure actuellement à proposer une quelconque chirurgie, on risque fortement de déclencher des problèmes de type algo-neuro-dystrophie et de péjorer encore le status local. En effet, la seule chirurgie qui pourrait actuellement être proposée à cette patiente serait une arthrodèse métatarsophalangienne, mais je pense qu'il ne faut absolument pas envisager cette prise en charge tant que la patiente n'a pas bénéficié d'un traitement de désensibilisation locale bien conduit". Dans un rapport du 15 mai 2018, le Dr D.________ (dossier AI p. 198) retient une capacité nulle dans l'activité habituelle, mais de 80 à 100% dans une activité adaptée, en position assise. Le 4 juin 2018 (dossier AI p. 217), le Dr G.________ prend position sur ces nouveaux rapports. Il constate que la symptomatologie n'a pas évolué, mais que le rapport du Dr I.________ a permis de poser un diagnostic précis (allodynie mécanique avec douleurs neuropathiques sur l'articulation</w:t>
      </w:r>
    </w:p>
    <w:p>
      <w:r>
        <w:t>Tribunal cantonal TC Page 9 de 12 métatarsophalangienne I du pied gauche, suite à une cure d'hallux valgus en 2014, avec lésion de la branche terminale du nerf saphène gauche). "Les limitations qui en découlent me paraissent évidentes: pas d'activité en position debout, pas de marche, pas de port de charges, pas de travail en hauteur". Il se réfère à l'évaluation de la capacité de travail du Dr D.________ dans une activité en position assise. S'agissant d'une expertise orthopédique, demandée par l'assurée, le médecin SMR juge qu'elle n'est pas indispensable "puisque le diagnostic est établi et les limitations sont suffisamment bien définies". Il atteste dès lors d'une capacité de travail de 100% avec diminution de rendement de 10-20% pour les douleurs chroniques. Le 20 juin suivant (dossier AI p. 222), il précise sa position à la demande de l'OAI et retient, sur la base du dossier médical, que "la situation médicale peut être considérée comme stabilisée depuis le rapport médical du Dr F.________ du 06.06.2016, depuis cette date, une activité adaptée est exigible à 100% avec une diminution de rendement de 20% annoncée par son médecin de famille dans son rapport médical du 17.05.2018. Si cela serait contesté, une expertise orthopédique serait alors indiquée, afin de déterminer les limitations actuelles et la date d'une reprise d'une activité adaptée à la suite de l'opération du 17.10.2014". 3.2. Sur la base de ce qui précède, on constate que la problématique médicale qui fait l'objet du présent dossier est relativement aisée à appréhender, puisqu'elle est essentiellement circonscrite à l'atteinte au pied gauche. Dans ce contexte, la plupart des investigations médicales qui ont été menées ont eu pour but de déterminer l'origine des douleurs alléguées par celle-ci. C'est précisément en ce sens que les rapports ont été requis de la part du Dr F.________, puis du Dr I.________. De ce point de vue, ceux-ci ont rempli leur mission, dès lors qu'ils ont permis d'objectiver la symptomatologie et d'en déterminer l'origine. Cela étant, aucun d'eux ne s'est déterminé au sujet de la capacité de travail et/ou sur les limitations fonctionnelles de l'assurée. L'exigibilité a toutefois été fixée par le médecin SMR, lequel s'est en particulier appuyé sur un rapport du généraliste traitant datant du mois de mai 2018 et admettant la présence d'une capacité de travail de 80 à 100 % dans une activité adaptée, en position assise. Amenée à trancher, la Cour de céans concède que le fait que ni le Dr F.________, ni le Dr I.________ ne se sont prononcés sur la capacité de travail de l'assurée est regrettable. Cela n'enlève cependant rien à la valeur de l'appréciation effectuée par le médecin SMR, fondée sur l'avis du médecin traitant. On peut en effet donner foi au fait que l'atteinte au pied limite toute activité nécessitant la station debout et/ou des déplacements, mais on ne discerne pas en quoi un emploi épargnant ce membre serait de fait contre-indiqué. Cela est indirectement confirmé par le Dr I.________, lequel mentionne la présence de douleurs à la mobilisation de l'articulation. On relève enfin que l'avis du Dr G.________ n'a été contredit ultérieurement par aucun autre médecin, alors que la recourante avait tout le loisir de requérir un rapport en ce sens; on relève en particulier qu'elle n'a pas produit le résultat de l'expertise extrajudiciaire à laquelle elle s'est soumise au printemps 2019 (cf. dossier AI p. 273 s.). De même, le fait de retenir la date du rapport du Dr F.________ pour fixer la résurgence de la capacité de travail n'est, là non plus, pas en désaccord avec la situation médicale. Au contraire, il est parfaitement admissible de considérer qu'à l'exception d'une période d'incapacité totale durant les mois qui ont suivi l'opération, l'assurée disposait à nouveau d'une capacité de travail dans une activité ménageant son pied. Cela est d'ailleurs corroboré par les rapports de son généraliste traitant qui, en 2015 déjà, estimait que tel était le cas (dossier AI p. 42 et 56). De ce point de vue, la date retenue par le médecin SMR et, à sa suite, par l'OAI est très favorable à la recourante.</w:t>
      </w:r>
    </w:p>
    <w:p>
      <w:r>
        <w:t>Tribunal cantonal TC Page 10 de 12 Dès lors, le fait pour le médecin SMR, en sa qualité de spécialiste en chirurgie, de retenir que l'assurée présentait à nouveau une pleine capacité de travail dans une activité adaptée à son état de santé, avec diminution de rendement de 20%, à partir du mois de juin 2016, soit plus d'une année et demie après l'intervention, est parfaitement cohérent et rejoint l'avis de son médecin traitant; il emporte ainsi largement la conviction de la Cour. Il découle de ce qui précède que l'évaluation de la capacité de travail à laquelle a procédé l'OAI doit être confirmée et qu'une expertise orthopédique ne se justifie pas en l'espèce. 4. Dans la mesure où la capacité de travail est désormais connue, il est possible de procéder à l'évaluation du degré d'invalidité. Le recours à la méthode mixte d'évaluation de l'invalidité n'est pas critiqué par la recourante. Celle- ci conteste par contre la répartition des activités lucrative et ménagère et allègue que, sans invalidité, elle aurait travaillé à un taux bien plus élevé que les 35% retenus par l'OAI, évoquant un taux de l'ordre de 70%. Elle reproche en particulier une instruction lacunaire de cette question. 4.1. On peut certes déplorer l'absence du questionnaire à l'intention des personnes s'occupant du ménage, qui figure habituellement dans ce type de dossier et dans lequel les assurés sont invités à indiquer le taux auquel ils auraient travaillé s'ils n'avaient pas été atteints dans leur santé. Il est vrai que l'assurée a déclaré qu'elle aurait travaillé "jusqu'à 70%" lors du premier entretien d'intervention précoce (dossier AI p. 45), en mars 2015. Cela étant, et contrairement à ce qu'elle allègue, elle a aussi été amenée à s'exprimer à ce sujet lors de l'enquête économique sur le ménage, réalisée en septembre 2018. A la question 3.5 (dossier AI p. 233) il est ainsi mentionné que, "sans atteinte, elle aurait continué à travailler chez le même employeur sans changement", ce dont on peut légitimement déduire qu'elle entendait poursuivre son activité aux mêmes conditions que précédemment. Or, il est manifeste qu'elle ne travaillait pas à un taux de 70% jusqu'alors. Il ressort de l'extrait de compte individuel AVS (dossier AI p. 16) que le salaire versé par le dernier employeur a été stable durant les six dernières années précédant l'atteinte à la santé (2008-2013), oscillant entre CHF 15'553.- et CHF 17'499.- par année. Les contrats de travail remis par l'assurée, seulement à l'appui de son recours, comportent différents horaires de travail (20 heures par semaine dès le 8 mai 2008, la même chose dès le 1er janvier 2009, 17.5 heures hebdomadaires à partir du 1er juin 2010 et enfin 40 heures par semaine à partir du 28 juin 2013). Toutefois, aucun d'entre eux n'est daté et seuls deux d'entre eux comportent la deuxième page signée; de plus, le salaire horaire figurant dans le plus récent d'entre eux (CHF 17.40/h) ne correspond pas à celui annoncé par l'employeur dans le questionnaire ad hoc (CHF 18.40/h; dossier AI p. 69). Surtout, les horaires inscrits ne sont nullement corroborés par les données du compte individuel, lesquelles doivent être privilégiées. La recourante invoque également la préretraite, dont son époux aurait bénéficié à partir de 2016, pour justifier une augmentation de son taux d'activité. La Cour relève toutefois qu'elle n'a fourni aucun document à ce sujet, ni aucune indication précise sur l'impact financier que cela a eu sur leur situation. Elle constate en outre que, pour autant qu'avérée, cette préretraite est intervenue alors que l'assurée était déjà atteinte dans sa santé et qu'elle avait déjà entamé des démarches auprès de l'assurance-invalidité, sans toutefois en connaître l'issue. Force est donc de constater qu'il est peu probable que le couple eût pris une telle décision si les conséquences sur leur budget avaient été négatives. Plus généralement, la situation personnelle et familiale stable depuis de nombreuses années, en particulier au niveau de l'absence d'enfants à charge ainsi que de la</w:t>
      </w:r>
    </w:p>
    <w:p>
      <w:r>
        <w:t>Tribunal cantonal TC Page 11 de 12 situation conjugale, ne permet pas de reconnaître sans autre une augmentation du degré d'activité. Aucun élément ne permet donc de retenir le taux de 70% tel qu'allégué par la recourante. Pour établir le taux de 35%, déterminant pour l'activité lucrative de l'assurée, l'OAI s'est semble-t-il fondé sur les indications figurant dans la demande de prestations (dans laquelle celle-ci indiquait travailler 3h par jour; dossier AI p. 10) et sur l'attestation de l'employeur (mentionnant 15h hebdomadaires; dossier AI p. 69). Au vu d'un salaire horaire de CHF 18.40, ce degré d'activité aboutit à un revenu annuel de l'ordre de CHF 15'500.-, compte tenu du versement d'un 13ème salaire, ce qui correspond peu ou prou aux revenus figurant dans le compte individuel AVS. En définitive, on ne saurait donc reprocher à l'autorité intimée d'avoir conclu à la poursuite d'une activité lucrative de l'ordre de 35%, telle qu'exercée avant la survenance de l'atteinte à la santé. 4.2. Dès lors que tant l'évaluation de la capacité de travail que la répartition des activités lucrative et ménagère retenues par l'autorité intimée sont confirmées, les modalités du calcul du degré d'invalidité auquel celle-ci a procédé peuvent être avalisées. En résumé, la capacité de travail est nulle du 17 février 2014 au 5 juin 2016, puis entière dans une activité adaptée, avec une diminution du rendement de 20%. Sur le plan ménager, un empêchement de 15.50% avait été retenu dans l'enquête du 17 septembre 2018 (dossier AI p. 226); ledit empêchement n'a nullement été contesté par la recourante. Celle-ci a en revanche critiqué l'obligation de réduire le dommage, l'enquêtrice ayant tenu compte d'une participation de l'époux aux travaux ménagers à hauteur de 30%. L'enquêtrice a alors procédé à un nouveau calcul (dossier AI p. 285) en renonçant à une réduction linéaire, mais en répartissant l'aide de l'époux au ménage dans les diverses rubriques. En définitive, la Cour retient que la réduction du dommage a été évaluée alors que l'époux était à la retraite, ce qui n'était semble-t-il pas le cas lorsque l'assurée était totalement incapable de travailler. On peut estimer que l'aide que ce dernier était susceptible d'apporter dans la tenue du ménage était moindre, mais pas nulle. Or, une participation de l'ordre de 10% à la tenue du ménage, qui est ici tout à fait proportionnée, fait chuter l'empêchement ménager aux alentours de 5%, ce qui aboutit, après pondération, à un degré d'invalidité global inférieur à 40%. En définitive, sur toutes les périodes à considérer, le degré d'invalidité est insuffisant pour ouvrir le droit à une rente. 5. Au vu de ce qui précède, le recours est rejeté et la décision attaquée confirmée. La procédure n'étant pas gratuite, les frais de justice sont fixés à CHF 800.- et sont mis à la charge de la recourante qui succombe. Ils sont toutefois compensés par l'avance de frais versée le 6 décembre 2019. Pour les mêmes motifs, l'assurée n'a pas droit à des dépens.</w:t>
      </w:r>
    </w:p>
    <w:p>
      <w:r>
        <w:t>Tribunal cantonal TC Page 12 de 12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