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305 vom 20. Januar 2020</w:t>
      </w:r>
    </w:p>
    <w:p>
      <w:r>
        <w:t>FR Kantonsgericht, 2020-01-20, FR</w:t>
      </w:r>
    </w:p>
    <w:p>
      <w:r>
        <w:rPr>
          <w:b/>
        </w:rPr>
        <w:t xml:space="preserve">Quelle: </w:t>
      </w:r>
      <w:r>
        <w:t>https://mcp.opencaselaw.ch/entscheid/fr_gerichte_608_2019_305</w:t>
      </w:r>
    </w:p>
    <w:p>
      <w:r>
        <w:t>FR: FR_GERICHTE 608 2019 305 du 20 janvier 2020</w:t>
      </w:r>
    </w:p>
    <w:p>
      <w:r>
        <w:t>IT: FR_GERICHTE 608 2019 305 del 20 gennaio 2020</w:t>
      </w:r>
    </w:p>
    <w:p>
      <w:pPr>
        <w:pStyle w:val="Heading2"/>
      </w:pPr>
      <w:r>
        <w:t>Regeste</w:t>
      </w:r>
    </w:p>
    <w:p>
      <w:r>
        <w:t>Arrêt de la IIe Cour des assurances sociales du Tribunal cantonal | Ergänzungsleistungen</w:t>
      </w:r>
    </w:p>
    <w:p>
      <w:pPr>
        <w:pStyle w:val="Heading2"/>
      </w:pPr>
      <w:r>
        <w:t>Erwägungen</w:t>
      </w:r>
    </w:p>
    <w:p>
      <w:r>
        <w:rPr>
          <w:b/>
        </w:rPr>
        <w:t>E. 25</w:t>
      </w:r>
    </w:p>
    <w:p>
      <w:r>
        <w:t>septembre 2019, la Caisse a respecté le délai prescrit par l'art. 25 al. 2 LPGA; que l'ensemble des conditions étant remplies, la demande de restitution du montant total de CHF 5'362.- est dès lors justifiée dans son principe; qu'au vu de ce qui précède, le recours doit donc être rejeté et la décision querellée confirmée; que, s'agissant de l'effet suspensif, la Cour de céans tient néanmoins à relever que le fait de statuer dans la même décision, respectivement décision sur opposition, sur une diminution de prestations pour l'avenir et une restitution de prestations indûment touchées pour le passé est de nature à compliquer inutilement la situation, dans la mesure où l'autorité entend retirer l'effet suspensif uniquement en ce qui concerne la diminution de prestations, mais pas pour la question de la restitution; qu'elle rend également l'autorité intimée attentive au fait qu'elle avait certes expressément retiré l'effet suspensif à une éventuelle opposition dans la décision du 25 septembre 2019, mais que cela</w:t>
      </w:r>
    </w:p>
    <w:p>
      <w:r>
        <w:t>Tribunal cantonal TC Page 5 de 5 n'a pas été fait dans le cadre de sa décision sur opposition en ce qui concerne l'effet suspensif à un éventuel recours; que, toutefois, dans le cas d'espèce, dans la mesure où le litige est tranché directement sur le fond, cela n'a pas d'incidence, puisque la question de l'effet suspensif devient dès lors sans objet; qu'il est enfin rappelé, comme la Caisse l'a déjà fait dans la décision querellée et dans ses observations, que la demande de remise comprenant l'examen des conditions cumulatives de la bonne foi et de la situation difficile sera traitée dans un deuxième temps, lorsque le principe de la restitution sera entré en force; que, conformément au principe de la gratuité prévalant en la matière, il n'est pas perçu de frais de procédure;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2020/meg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