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302 vom 24. November 2020</w:t>
      </w:r>
    </w:p>
    <w:p>
      <w:r>
        <w:t>FR Kantonsgericht, 2020-11-24, FR</w:t>
      </w:r>
    </w:p>
    <w:p>
      <w:r>
        <w:rPr>
          <w:b/>
        </w:rPr>
        <w:t xml:space="preserve">Quelle: </w:t>
      </w:r>
      <w:r>
        <w:t>https://mcp.opencaselaw.ch/entscheid/fr_gerichte_608_2019_302</w:t>
      </w:r>
    </w:p>
    <w:p>
      <w:r>
        <w:t>FR: FR_GERICHTE 608 2019 302 du 24 novembre 2020</w:t>
      </w:r>
    </w:p>
    <w:p>
      <w:r>
        <w:t>IT: FR_GERICHTE 608 2019 302 del 24 novembre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t>Tribunal cantonal TC Page 4 de 10</w:t>
      </w:r>
    </w:p>
    <w:p>
      <w:r>
        <w:rPr>
          <w:b/>
        </w:rPr>
        <w:t>E. 2</w:t>
      </w:r>
    </w:p>
    <w:p>
      <w:r>
        <w:t>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w:t>
      </w:r>
    </w:p>
    <w:p>
      <w:r>
        <w:rPr>
          <w:b/>
        </w:rPr>
        <w:t>E. 2.1</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2.2</w:t>
      </w:r>
    </w:p>
    <w:p>
      <w:r>
        <w:t>Il découle de la notion d’invalidité que ce n’est pas l’atteinte à la santé en soi qui est assurée ; ce sont bien plutôt les conséquences économiques de celle-ci, c’est-à-dire une incapacité de gain qui sera probablement permanente ou du moins de longue durée (ATF 127 V 294).</w:t>
      </w:r>
    </w:p>
    <w:p>
      <w:r>
        <w:rPr>
          <w:b/>
        </w:rPr>
        <w:t>E. 2.3</w:t>
      </w:r>
    </w:p>
    <w:p>
      <w:r>
        <w:t>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w:t>
      </w:r>
    </w:p>
    <w:p>
      <w:r>
        <w:rPr>
          <w:b/>
        </w:rPr>
        <w:t>E. 2.4</w:t>
      </w:r>
    </w:p>
    <w:p>
      <w:r>
        <w:t>Lorsque le salaire perçu avant l’invalidité est inférieur à celui pratiqué dans la branche considérée, en raison de facteurs étrangers à l’invalidité (par exemple : absence de formation, jeune âge, mauvaise connaissance de la langue, statut de saisonnier, etc.) et que l’assuré ne désire pas s’en contenter délibérément, il convient d’effectuer un parallélisme des deux revenus à comparer. Dans un arrêt de principe (ATF 134 V 322), le Tribunal fédéral a jugé que le revenu réalisé par l’assuré peut être effectué soit au regard du revenu sans invalidité en augmentant de manière appropriée le revenu effectivement réalisé ou en se référant aux données statistiques, soit au regard du revenu d'invalide en réduisant de manière appropriée la valeur statistique (consid. 4.1). Dans une seconde phase, il convient d'examiner si une déduction doit être opérée sur le revenu d'invalide obtenu à partir des valeurs moyennes statistiques. A cet égard, il faut remarquer que les facteurs étrangers à l'invalidité éventuellement déjà pris en considération lors de la mise en œuvre du parallélisme des revenus à comparer ne peuvent pas être pris en compte une seconde fois dans le cadre de la déduction pour circonstances personnelles et professionnelles (consid. 5.2 et 6.2). Dans un arrêt ultérieur (ATF 135 V 297, consid. 6.1.2.), il a précisé cette jurisprudence en spécifiant que le parallélisme des revenus se justifie lorsque le salaire est inférieur d'au moins 5 % au salaire statistique usuel dans la branche, où l’on peut considérer que le revenu effectivement réalisé est nettement inférieur à la moyenne de la branche. Ce parallélisme doit porter seulement sur la part qui excède le taux minimal déterminant de 5 % (consid. 6.1.3). Enfin, pour pouvoir procéder à un parallélisme des revenus à comparer, le revenu effectivement réalisé par l’assuré avant l’atteinte à la santé doit être inférieur d’au moins 5% au</w:t>
      </w:r>
    </w:p>
    <w:p>
      <w:r>
        <w:t>Tribunal cantonal TC Page 5 de 10 salaire usuel de la branche et non pas au salaire statistique total, toutes activités confondues (arrêt TF 8_C 466/2015 du 26 avril 2016). Il y a lieu de comparer le revenu sans invalidité avec la branche économique dans laquelle avait travaillé la personne assurée avant la survenance de l’atteinte à la santé et non pas avec le salaire statistique correspondant au salaire brut dans le secteur privé réalisé par les hommes ou les femmes toutes branches économiques confondues (arrêt TF 9C_884/2012 du 10 avril 2013 consid. 4). Toutefois, il n’y a pas lieu à majorer le revenu sans invalidité lorsque celui-ci est supérieur au salaire usuel de la branche selon le salaire minimum d’embauche d’une convention collective de travail (arrêts TF 8C_537/2016 du 11 avril 2017, consid. 6.2 et la référence ; 8C_643/2016 du 25 avril 2017 consid. 4.3 et les références).</w:t>
      </w:r>
    </w:p>
    <w:p>
      <w:r>
        <w:rPr>
          <w:b/>
        </w:rPr>
        <w:t>E. 2.5</w:t>
      </w:r>
    </w:p>
    <w:p>
      <w:r>
        <w:t>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w:t>
      </w:r>
    </w:p>
    <w:p>
      <w:r>
        <w:rPr>
          <w:b/>
        </w:rPr>
        <w:t>E. 3.1</w:t>
      </w:r>
    </w:p>
    <w:p>
      <w:r>
        <w:t>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rPr>
          <w:b/>
        </w:rPr>
        <w:t>E. 3.1.1</w:t>
      </w:r>
    </w:p>
    <w:p>
      <w:r>
        <w:t>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w:t>
      </w:r>
    </w:p>
    <w:p>
      <w:r>
        <w:rPr>
          <w:b/>
        </w:rPr>
        <w:t>E. 3.1.2</w:t>
      </w:r>
    </w:p>
    <w:p>
      <w:r>
        <w:t>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w:t>
      </w:r>
    </w:p>
    <w:p>
      <w:r>
        <w:t>Tribunal cantonal TC Page 6 de 10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3.2</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w:t>
      </w:r>
    </w:p>
    <w:p>
      <w:r>
        <w:rPr>
          <w:b/>
        </w:rPr>
        <w:t>E. 3.3</w:t>
      </w:r>
    </w:p>
    <w:p>
      <w:r>
        <w:t>La nécessité de mettre en œuvre une nouvelle expertise dépend du point de savoir si les rapports médicaux au dossier remplissent les exigences matérielles et formelles auxquelles sont soumises les expertises médicales. Selon la jurisprudence,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138 V 318; 137 V 210 consid. 4.4.1.4).</w:t>
      </w:r>
    </w:p>
    <w:p>
      <w:r>
        <w:rPr>
          <w:b/>
        </w:rPr>
        <w:t>E. 4</w:t>
      </w:r>
    </w:p>
    <w:p>
      <w:r>
        <w:t>En l’espèce, il n’est pas contesté que l’activité habituelle de l’assuré n’est pas compatible avec son état de santé. En revanche, l’OAI estime que ce dernier serait à même d’exercer une activité adaptée à raison de 60%. L’assuré conteste ce point de vue. A ce propos, on notera que, sans raison ni justification, l’OAI s’est écarté du degré de capacité de travail retenu par le SMR, tout en fondant sa décision sur un taux d’activité de 50%. Il y a lieu de présumer qu’il s’agit là d’une probable erreur de frappe de la part de l’OAI, laquelle, en l’occurrence et comme on le verra ci- après, n’est pas de nature à modifier les conclusions de la Cour de céans.</w:t>
      </w:r>
    </w:p>
    <w:p>
      <w:r>
        <w:rPr>
          <w:b/>
        </w:rPr>
        <w:t>E. 4.1</w:t>
      </w:r>
    </w:p>
    <w:p>
      <w:r>
        <w:t>L’exigibilité professionnelle retenue par l’AI se base sur un rapport d’expertise rédigé le 23 septembre 2016 à la demande de l’assureur-maladie de l’ancien employeur du recourant. Le médecin SMR s’est non seulement rallié à ce rapport, mais il a estimé que, au fil des années et des divers rapports médicaux successifs établis depuis, le rapport d’expertise gardait toute sa pertinence.</w:t>
      </w:r>
    </w:p>
    <w:p>
      <w:r>
        <w:t>Tribunal cantonal TC Page 7 de 10</w:t>
      </w:r>
    </w:p>
    <w:p>
      <w:r>
        <w:rPr>
          <w:b/>
        </w:rPr>
        <w:t>E. 4.2</w:t>
      </w:r>
    </w:p>
    <w:p>
      <w:r>
        <w:t>L’examen du rapport d’expertise du 23 septembre 2016 laisse apparaître comme diagnostics des « douleurs musculo-squelettiques diffuses dans le cadre d’une possible spondylarthropathie axiale et périphérique ». Or, depuis ce rapport, l’assuré a été soumis à de nombreuses investigations médicales, entre 2017 et 2019, par divers médecins qui ont également retenu un « slipping rib syndrom » (ou syndrome de Cyriax) au niveau de la dixième côte droite, lequel expliquerait l’intensité des douleurs incapacitantes. Il s’ensuit que cette atteinte, non mentionnée à l’époque par l’expert, aurait dû être examinée de manière plus approfondie par l’OAI. Par ailleurs, il ressort également du rapport d’expertise – lequel paraît au demeurant quelque peu succinct – que « L’assuré pourrait bénéficier d’une scintigraphie osseuse, au-delà d’un scanner thoraco-abdominal à même d’écarter une pathologie de système permettant d’expliquer les symptômes. L’assuré pourrait bénéficier d’investigations digestives basses avec prélèvements tissulaires pour écarter une affection digestive permettant d’expliquer les symptômes ostéo- articulaires éventuellement secondaires dans le cadre des symptômes digestifs allégués par l’assuré comme sa perte pondérale annoncée de 10kg depuis une année ». Il est permis au lecteur moyen de comprendre de ces lignes, en d’autres termes, que l’expert soupçonnait d’autres diagnostics que ceux retenus, lesquels nécessitaient des investigations complémentaires ou plus poussés. Pour des raisons inconnues, qui pourraient être liées à une limitation de mandat ou à un domaine échappant à sa compétence, ces investigations n’ont pas été réalisées par cet expert. Il s’ensuit que ce rapport d’expertise est à considérer comme incomplet.</w:t>
      </w:r>
    </w:p>
    <w:p>
      <w:r>
        <w:rPr>
          <w:b/>
        </w:rPr>
        <w:t>E. 4.3</w:t>
      </w:r>
    </w:p>
    <w:p>
      <w:r>
        <w:t>A ce sujet, il y a lieu de prendre en compte les documents suivants postérieurs à l’expertise, mais établis avant le rendu de la décision de l’OAI, soit les rapports : - du 7 mars 2017 du Dr K.________, spécialiste anesthésiologie et traitement de la douleur, à I.________, qui diagnostique un « slipping rib » à droite (10ème côte) et une spondylarthrite axiale et périphérique HLA-B27 négatif ; - du 30 mars 2017 de L.________, qui a diagnostiqué une probable spondylarthropathie axiale et périphérique et une probable hémochromatose. Ce même service a posé un diagnostic différentiel comprenant une spondylarthrite, une maladie de Behcet, une sarcoïdose, des polyarthralgies d’origine paranéoplasiques (Iymphomes), une tuberculose, une hémochromatose et une fièvre méditerranéenne familiale ; - du 9 juillet 2018 de la Dresse M.________, adressé à l’AI, qui mentionne un état stationnaire par rapport aux nouveaux diagnostics ; - du 27 juillet 2018, de la Dresse N.________, spécialiste en rhumatologie, à I.________, qui fait état d’une spondylarthropathie axiale probable, d’un probable « slipping rib syndrom », d’une pangastrite chronique modérée avec status éradication d’Helicobacter pylori et de suspicion de conflit fémoro-acétabulaire D ; - du 11 octobre 2018, du Dr K.________, qui diagnostique une chondrite des articulations chondro-costales de la 7ème à la 10ème côte droite et gauche, une spondylarthropathie axiale et un conflit fémoro-acétabulaire droit ; - et enfin du 30 septembre 2019, de la Dresse N.________, qui confirme les diagnostics et estime le pourcentage de travail à 30% maximum.</w:t>
      </w:r>
    </w:p>
    <w:p>
      <w:r>
        <w:t>Tribunal cantonal TC Page 8 de 10 Il s’ensuit que ces atteintes, postérieures au rapport d’expertise, auraient dû être examinées de manière plus approfondie par l’OAI, en vertu de la maxime d’office. A ce propos, on comprend difficilement les conclusions du médecin SMR selon lesquelles il n’y aurait eu aucune aggravation de l’état de santé, car il aurait dû, à tout le moins, discuter les nouveaux diagnostics.</w:t>
      </w:r>
    </w:p>
    <w:p>
      <w:r>
        <w:rPr>
          <w:b/>
        </w:rPr>
        <w:t>E. 4.4</w:t>
      </w:r>
    </w:p>
    <w:p>
      <w:r>
        <w:t>Les investigations réalisées ultérieurement à l’expertise ont permis d’objectiver d’autres atteintes à la santé et, en tout cas, un diagnostic de slipping rib syndrom non mis en évidence par l’expertise. Il convient donc de déterminer les effets de ce nouveau diagnostic sur la capacité de travail, en complément à celui déjà retenu par l’OAI. A cet effet, une nouvelle expertise semble inévitable afin de déterminer non seulement les atteintes dont le recourant souffre, mais encore la portée de celles-ci sur la capacité de travail. Dans la mesure où une question centrale sur le plan médical reste à éclaircir, l'on se trouve dans l'un des cas d'exception aménagés par la jurisprudence permettant de renoncer à la mise sur pied d'une expertise judiciaire. Partant, le dossier doit être retourné à l’OAI, à charge pour ce dernier de mettre sur pied une nouvelle expertise en vue de déterminer de façon précise si et dans quelle mesure les atteintes à la santé du recourant influent sur sa capacité de travail résiduelle. Bien fondé sur ce point, le recours doit être admis.</w:t>
      </w:r>
    </w:p>
    <w:p>
      <w:r>
        <w:rPr>
          <w:b/>
        </w:rPr>
        <w:t>E. 4.5</w:t>
      </w:r>
    </w:p>
    <w:p>
      <w:r>
        <w:t>On notera également que le recourant a produit, en cours de procédure, le 10 décembre 2019, un rapport du RFSM, du 12 décembre 2019, faisant valoir une incapacité totale de travail, pour un épisode dépressif moyen et douleurs chroniques. En outre, il a également transmis six nouvelles attestations médicales d’arrêts de travail prolongé jusqu’au 3 juillet 2020, en date du 28 mai 2020. Dans la mesure où ces éléments concernent des faits postérieurs à la décision, ils ne peuvent faire l’objet d’un examen au cours de la présente procédure. Il appartiendra néanmoins à l’OAI de les examiner, après avoir réexaminé le cas et rendu d’une nouvelle décision, dans le cadre d’une éventuelle aggravation de l’état de santé pouvant influer éventuellement sur le degré d’invalidité et/ou le droit à une rente.</w:t>
      </w:r>
    </w:p>
    <w:p>
      <w:r>
        <w:rPr>
          <w:b/>
        </w:rPr>
        <w:t>E. 5.1</w:t>
      </w:r>
    </w:p>
    <w:p>
      <w:r>
        <w:t>Le recourant fait aussi valoir que l’OAI aurait dû procéder, pour déterminer la perte de salaire, à un parallélisme des revenus étant donné qu’il percevait, sans intention délibérée de sa part, un salaire inférieur à celui de la branche. A ce propos, il sied de rappeler que le recourant exerçait un travail de manutentionnaire dans un dépôt de magasin de meubles, occupé au chargement et au déchargement de la marchandise, ne nécessitant pas de formation particulière. Le recourant indique que, au moment de l’incapacité de travail, en février 2016, il réalisait un revenu annuel brut (théorique, à 100% et après indexation) de CHF 46'368.-. Selon lui, pour ce type d’emploi simple et non qualifié, en partant des données retenues par l’OAI sur la base de l’Enquête suisse sur la structure des salaires 2016 (ESS), le revenu annuel des hommes dans le secteur privé s’élève à CHF 66'803.40 par année (revenu mensuel de CHF 5'340 pour 40 heures; adapté à la durée effective de travail de 41,7 heures x 12 mois). C’est donc ce revenu statistique qui doit être pris en considération, car il constitue le revenu de référence. Sur cette base, ce revenu dépasse de 30,59% son salaire effectif. Au vu de cette situation, il estime que l’OAI aurait dû paralléliser les revenus à comparer jusqu’à concurrence de la part qui excède le taux minimal déterminant de 5%, ce qui donne un revenu sans invalidité de CHF 58'233.57 (CHF 46'368.- + 25,59%).</w:t>
      </w:r>
    </w:p>
    <w:p>
      <w:r>
        <w:t>Tribunal cantonal TC Page 9 de 10</w:t>
      </w:r>
    </w:p>
    <w:p>
      <w:r>
        <w:rPr>
          <w:b/>
        </w:rPr>
        <w:t>E. 5.2</w:t>
      </w:r>
    </w:p>
    <w:p>
      <w:r>
        <w:t>La question de savoir si le recourant était effectivement sous-payé, sans que ce soit volontairement de sa part, par rapport aux salaires versés dans la branche n’a pas été examinée par l’OAI. Pour une activité à plein temps, le salaire de CHF 46'368.- paraît certes modeste, mais il correspond aux données fournies par l’employeur pour ce genre d’activité et devrait, normalement, correspondre à la Convention collective de travail (CCT) du commerce de détail à laquelle l’entreprise est soumise. En principe et pour une activité régulière et des rapports de travail stables, l’on se fonde sur les salaires effectivement versés par l’entreprise aux salariés de la branche, en tenant compte de l’évolution salariale susceptible d’être réalisée sans l’invalidité. Dans les cas où il existe une CCT, c’est le salaire fixé conventionnellement qui doit être retenu, même si le Tribunal fédéral a précisé que les rétributions fixées par les CCT sont sensiblement inférieures aux salaires moyens usuels dans une branche, de sorte que seuls les salaires statistiques sont représentatifs pour établir le revenu déterminant (arrêt TF U 63/06 du 7 mars 2007 consid. 3.3.1 et les références). En l’espèce, pour fixer le salaire sans invalidité, il y a lieu de se référer au salaire usuel de la branche, pour ce type d’activité et non au salaire statistique de niveau de compétence 1 de l’ESS (activités simples sans formation spéciale) toutes branches confondues. Sur ce point, le dossier doit aussi être renvoyé à l’OAI afin qu’il examine l’opportunité de procéder aux comparaisons de revenus par rapport à ceux versés dans la branche, à la conformité du salaire versé avec les exigences de la convention collective de travail, dans la mesure où elle est applicable au recourant, et tenant compte, cas échéant, du parallélisme des revenus. Sur ce point également, le recours doit être admis.</w:t>
      </w:r>
    </w:p>
    <w:p>
      <w:r>
        <w:rPr>
          <w:b/>
        </w:rPr>
        <w:t>E. 6</w:t>
      </w:r>
    </w:p>
    <w:p>
      <w:r>
        <w:t>Au vu de l'ensemble des considérants qui précèdent, le recours doit être admis et la décision querellée annulée. Le dossier est renvoyé à l’autorité intimée pour compléter l’instruction.</w:t>
      </w:r>
    </w:p>
    <w:p>
      <w:r>
        <w:rPr>
          <w:b/>
        </w:rPr>
        <w:t>E. 7</w:t>
      </w:r>
    </w:p>
    <w:p>
      <w:r>
        <w:t>Les frais de procédure, par CHF 800.-, sont mis à la charge de l'autorité intimée qui succombe. Ayant ainsi obtenu gain de cause, l’assuré a droit à des dépens (art. 61 let. g LPGA). Le 4 novembre 2020, le mandataire du recourant a présenté sa liste de frais. Celle-ci se monte à un total de 10h et 6 minutes d'honoraires, à CHF 250, soit CHF 2'525.00, plus un forfait de 5%, par CHF 126.25 de débours, soit CHF 2'651.25, plus TVA à 7.7%, soit CHF 204.15 et CHF 1.00 de frais, au total CHF 2'856.40, et de mettre intégralement cette somme à la charge de l'autorité intimée qui succombe. Les frais de justice, par CHF 800.- sont mis à charge de l’OAI. L’avance de frais d’un même montant est restituée à l’assuré.</w:t>
      </w:r>
    </w:p>
    <w:p>
      <w:r>
        <w:t>Tribunal cantonal TC Page 10 de 10 la Cour arrête : I. Le recours est admis. Partant, la décision du 29 octobre 2019 est annulée. Le dossier est retourné à l’OAI pour instruction complémentaire et nouvelle décision au sens des considérants. II. Les frais de justice par CHF 800.- sont mis à charge de l’OAI. III. Il est alloué à Me Charles Guerry une indemnité de CHF 2'525.00 au titre d’honoraires, plus CHF 127.25 de débours et frais, plus CHF 204.15 de TVA à 7.7%, soit au total CHF 2'856.40. Elle est mise à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novembre 2020/esc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