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263 vom 18. November 2019</w:t>
      </w:r>
    </w:p>
    <w:p>
      <w:r>
        <w:t>FR Kantonsgericht, 2019-11-18, DE</w:t>
      </w:r>
    </w:p>
    <w:p>
      <w:r>
        <w:rPr>
          <w:b/>
        </w:rPr>
        <w:t xml:space="preserve">Quelle: </w:t>
      </w:r>
      <w:r>
        <w:t>https://mcp.opencaselaw.ch/entscheid/fr_gerichte_608_2019_263</w:t>
      </w:r>
    </w:p>
    <w:p>
      <w:r>
        <w:t>FR: FR_GERICHTE 608 2019 263 du 18 novembre 2019</w:t>
      </w:r>
    </w:p>
    <w:p>
      <w:r>
        <w:t>IT: FR_GERICHTE 608 2019 263 del 18 novembre 2019</w:t>
      </w:r>
    </w:p>
    <w:p>
      <w:pPr>
        <w:pStyle w:val="Heading2"/>
      </w:pPr>
      <w:r>
        <w:t>Regeste</w:t>
      </w:r>
    </w:p>
    <w:p>
      <w:r>
        <w:t>Urteil des II. Sozialversicherungsgerichtshofes des Kantonsgerichts | Alters- und Hinterlassenenversicherung</w:t>
      </w:r>
    </w:p>
    <w:p>
      <w:pPr>
        <w:pStyle w:val="Heading2"/>
      </w:pPr>
      <w:r>
        <w:t>Erwägungen</w:t>
      </w:r>
    </w:p>
    <w:p>
      <w:r>
        <w:rPr>
          <w:b/>
        </w:rPr>
        <w:t>E. 1</w:t>
      </w:r>
    </w:p>
    <w:p>
      <w:r>
        <w:t>Die Beschwerde vom 27. September 2019 gegen den Einspracheentscheid vom 23. August 2019 ist durch den Beschwerdeführer frist- und formgerecht bei der örtlich und sachlich zuständigen Beschwerdeinstanz eingereicht worden. Der Beschwerdeführer hat ein schutzwürdiges Interesse daran, dass das Kantonsgericht, II. Sozialversicherungsgerichtshof, prüft, ob die Ausgleichskasse zu Recht auf seine Einsprache nicht eingetreten ist. Auf die Beschwerde ist einzutreten.</w:t>
      </w:r>
    </w:p>
    <w:p>
      <w:r>
        <w:rPr>
          <w:b/>
        </w:rPr>
        <w:t>E. 2.1</w:t>
      </w:r>
    </w:p>
    <w:p>
      <w:r>
        <w:t>Mit dem vorliegend angefochtenen Einspracheentscheid vom 23. August 2019 ist die Aus- gleichskasse auf die "Einsprache" vom 16. August 2019 nicht eingetreten. Da im Rahmen der Be- urteilung einer Beschwerde gegen einen Nichteintretensentscheid nur dieser Gegenstand des Be- schwerdeverfahrens bildet, nicht aber der zugrunde liegende materielle Streit, ist im vorliegenden Beschwerdeverfahren einzig zu prüfen, ob die Ausgleichskasse zu Recht einen Nichteintretens- entscheid erlassen hat. Folglich ist auf die materiellen Vorbringen des Beschwerdeführers nicht einzutreten.</w:t>
      </w:r>
    </w:p>
    <w:p>
      <w:r>
        <w:rPr>
          <w:b/>
        </w:rPr>
        <w:t>E. 2.2</w:t>
      </w:r>
    </w:p>
    <w:p>
      <w:r>
        <w:t>Die Ausgleichskasse begründet den Nichteintretensentscheid vom 23. August 2019 damit, dass die Schadenersatzverfügungen bereits am 4. Juni 2019 erlassen worden seien und nicht erst am 17. Juli 2019, wie vom Beschwerdeführer behauptet. Die "Einsprache" vom 16. August 2019 sei damit zu spät erhoben worden. Mit dieser Argumentation verkennt die Ausgleichskasse, dass sich der Beschwerdeführer schrift- lich mit Eingabe vom 3. Juli 2019 – und bereits zuvor mit E-Mails vom 11. Juni 2019 und 24. Juni 2019 – gegen die Schadenersatzverfügungen vom 4. Juni 2019 zur Wehr gesetzt hat. Diesen Ein-</w:t>
      </w:r>
    </w:p>
    <w:p>
      <w:r>
        <w:t>Kantonsgericht KG Seite 5 von 7 gaben kann ohne Zweifel der Wille des Beschwerdeführers entnommen werden, die erlassenen Schadenersatzverfügungen nicht zu akzeptieren. Damit ist spätestens die Eingabe vom 3. Juli 2019, mit welcher der Beschwerdeführer die Ausgleichskasse darum ersuchte, ihm gestützt auf die übermittelten Lohndaten des Jahres 2018 eine korrigierte Gesamtabrechnung betreffend die Jahre 2017 und 2018 zuzustellen, als Einsprache im Sinne von Art. 52 des Bundesgesetzes vom 6. Ok- tober 2000 über den Allgemeinen Teil des Sozialversicherungsrechts (ATSG; SR 830.1) zu qualifi- zieren (vgl. KIESER, ATSG-Kommentar, 3. Auflage 2015, Art. 52 N. 36 f.).</w:t>
      </w:r>
    </w:p>
    <w:p>
      <w:r>
        <w:rPr>
          <w:b/>
        </w:rPr>
        <w:t>E. 2.3</w:t>
      </w:r>
    </w:p>
    <w:p>
      <w:r>
        <w:t>Weiter ist festzustellen, dass die Ausgleichskasse die Schadenersatzverfügungen vom</w:t>
      </w:r>
    </w:p>
    <w:p>
      <w:r>
        <w:rPr>
          <w:b/>
        </w:rPr>
        <w:t>E. 2.4</w:t>
      </w:r>
    </w:p>
    <w:p>
      <w:r>
        <w:t>Daraus folgt, dass der Beschwerdeführer gegen die Schadenersatzverfügungen vom</w:t>
      </w:r>
    </w:p>
    <w:p>
      <w:r>
        <w:rPr>
          <w:b/>
        </w:rPr>
        <w:t>E. 4</w:t>
      </w:r>
    </w:p>
    <w:p>
      <w:r>
        <w:t>Aufgrund des hier zur Anwendung kommenden Grundsatzes der Kostenlosigkeit des Verfahrens (Art. 61 lit. a ATSG) sind keine Gerichtskosten zu erheben. Eine Parteientschädigung ist nicht geschuldet. (Dispositiv auf nachfolgender Seite)</w:t>
      </w:r>
    </w:p>
    <w:p>
      <w:r>
        <w:t>Kantonsgericht KG Seite 7 von 7 Der Hof erkennt: I. Die Beschwerde wird gutgeheissen, soweit darauf eingetreten wird. Der Einspracheentscheid der Ausgleichskasse C.________ vom 23. August 2019 wird auf- gehoben und die Angelegenheit an diese zurückgewiesen, damit sie auf die rechtzeitig erho- bene Einsprache auch formell eintrete und diese materiell behandle.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18. November 2019/dki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