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215 vom 17. August 2020</w:t>
      </w:r>
    </w:p>
    <w:p>
      <w:r>
        <w:t>FR Kantonsgericht, 2020-08-17, FR</w:t>
      </w:r>
    </w:p>
    <w:p>
      <w:r>
        <w:rPr>
          <w:b/>
        </w:rPr>
        <w:t xml:space="preserve">Quelle: </w:t>
      </w:r>
      <w:r>
        <w:t>https://mcp.opencaselaw.ch/entscheid/fr_gerichte_608_2019_215</w:t>
      </w:r>
    </w:p>
    <w:p>
      <w:r>
        <w:t>FR: FR_GERICHTE 608 2019 215 du 17 août 2020</w:t>
      </w:r>
    </w:p>
    <w:p>
      <w:r>
        <w:t>IT: FR_GERICHTE 608 2019 215 del 17 agosto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 recourante, dûment représentée, est en outre directement atteinte par la décision querellée et possède dès lors un intérêt digne de protection à ce qu'elle soit, cas échéant, annulée ou modifiée.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w:t>
      </w:r>
    </w:p>
    <w:p>
      <w:r>
        <w:t>Tribunal cantonal TC Page 4 de 15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9C_910/2010 du</w:t>
      </w:r>
    </w:p>
    <w:p>
      <w:r>
        <w:rPr>
          <w:b/>
        </w:rPr>
        <w:t>E. 3.2</w:t>
      </w:r>
    </w:p>
    <w:p>
      <w:r>
        <w:t>p. 338 et les références). 4.2. La méthode ordinaire d’évaluation du taux d’invalidité (art. 28a al. 1 LAI) s'applique aux assurés qui exerçaient une activité lucrative à plein temps avant d'être atteints dans leur santé physique, mentale ou psychique.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Enfin, lorsque l'assuré exerce à la fois une activité lucrative à temps partiel et s'occupe du ménage ou serait actif dans un autre champ d'activité, l'on applique la méthode dite mixte d'évaluation du taux d'invalidité (art. 28a al. 3 LAI). 5. En l'espèce, force est d'emblée de constater que, à lire la décision contestée, la Cour n'est pas en mesure de déterminer la méthode appliquée par l'OAI. D'un côté, l'office se fonde sur "la capacité de travail dans une activité professionnelle inhérente à [son] domaine de compétences et de 100% avec une diminution de rendement de l'ordre de 30%". Cette terminologie fait référence à la méthode de comparaison des revenus. De l'autre, il soutient faire "application de la méthode dite spécifique" et que, "au regard des conclusions des rapports d'expertise et de l'absence manifeste de limitations fonctionnelles", il ne retient "aucun degré d'invalidité sur la seule partie ménagère". Cela étant, l'on constate d'emblée que l'assurée émarge à l'aide sociale depuis de nombreuses années. Or, l'aide sociale n'est pas un revenu minimal garanti qui serait dû à certaines conditions</w:t>
      </w:r>
    </w:p>
    <w:p>
      <w:r>
        <w:t>Tribunal cantonal TC Page 6 de 15 définies par la loi. Au contraire, l'art. 5 de la loi cantonale du 14 novembre 1991 sur l'aide sociale (LASoc; RS 831.0.1) affirme le principe de la subsidiarité de l'aide sociale, ce qui implique tout d'abord le principe de l'auto-prise en charge qui obligerait la recourante à entreprendre tout ce qui est en son pouvoir pour sortir d'une situation d'indigence par ses propres moyens ou pour supprimer cette situation. En outre, il découle du principe de réciprocité – lequel est au centre des mesures destinées à favoriser l'intégration sociale et l'insertion professionnelle – que le bénéficiaire de l'aide sociale a le devoir de faire tout son possible pour atténuer sa situation de besoin, voire l'éliminer (voir not. arrêt TC 605 2019 50 du 20 avril 2020; ATF 130 I 71 consid. 4 à 6; arrêt TF 2P.156/2005 du 17 octobre 2005). En d'autres termes, dans le cas concret, cela signifie que, si l'assurée devait être considérée comme suffisamment en santé pour exercer une activité lucrative, le service social l'obligerait à le faire dans une mesure propre à réduire sa situation d'indigence. En l'occurrence, si l'assurée n'était pas restreinte dans l'exercice d'une activité lucrative pour des motifs médicaux et dans la mesure où ses enfants sont suffisamment âgés pour pouvoir se prendre seuls en charge, le Service social exigerait d'elle qu’elle subvienne par ses propres moyens à son entretien. Sur ce plan, dans son recours, l'assurée indique que 80% serait le "taux d'activité minimum [...] pour être indépendante financièrement". L'OAI n'apporte aucun élément permettant de mettre en doute ce pourcentage. Partant, il y a lieu de retenir l'application de la méthode mixte selon une répartition de 80% au titre de l'activité lucrative et de 20% au titre des tâches ménagères. 6. Compte tenu de la méthode mixte applicable, il convient d'examiner, dans un premier temps, l'impact des troubles de la recourante sur sa capacité de travail. En l’espèce, le litige porte sur la question de savoir si l'état de santé de cette dernière s'est aggravé au point de justifier l'octroi de prestations AI, respectivement si la mise sur pied d’une expertise est nécessaire. La décision du 3 avril 2014 constitue le point de départ temporel. Il s'agit en effet de la dernière décision entrée en force qui repose sur un examen matériel du droit à la rente, étant rappelé que le moment où a été rendue la décision litigieuse délimite l'état de fait déterminant permettant d'examiner la légalité de l'acte attaqué (cf. ATF 132 V 215 consid. 3.1.1; 129 V 1 consid. 1.2). 6.1.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t>Tribunal cantonal TC Page 7 de 15 6.2.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6.3.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7</w:t>
      </w:r>
    </w:p>
    <w:p>
      <w:r>
        <w:t>juillet 2011 consid. 3.2 a contrario). 4. La recourante critique la méthode d'évaluation de l'invalidité qui lui a été appliquée, soutenant qu’elle aurait été occupée à 80% dans une activité et à 20% dans le ménage.</w:t>
      </w:r>
    </w:p>
    <w:p>
      <w:r>
        <w:t>Tribunal cantonal TC Page 5 de 15 4.1. La loi consacre trois régimes distincts d'évaluation de l'invalidité, qui, pour une même atteinte à la santé, peuvent aboutir à des conséquences assécurologiques sensiblement différentes (arrêt TF 9C_790/2010 du 8 juillet 2011 consid. 5.5.1).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28a al. 2 LAI en corrélation avec les art. 27 RAI et 8 al. 3 LPGA], méthode mixte [art. 28a al. 3 LAI en corrélation avec l'art. 27bis RAI, ainsi que les art. 16 LPGA et 28a al. 2 LAI en corrélation avec les art. 27 RAI et 8 al. 3 LPGA]) dépendra du statut du bénéficiaire potentiel de la rente: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w:t>
      </w:r>
    </w:p>
    <w:p>
      <w:r>
        <w:rPr>
          <w:b/>
        </w:rPr>
        <w:t>E. 7.1</w:t>
      </w:r>
    </w:p>
    <w:p>
      <w:r>
        <w:t>Dans un premier temps, compte tenu de la question litigieuse portant sur une aggravation de l'état de santé, il n'est pas sans intérêt de rappeler les circonstances ayant conduit l'OAI à considérer que l'assurée ne souffrait d'aucune atteinte invalidante dans la décision du 3 avril 2014. Sur le plan psychique, l'office se fondait sur le rapport d'expertise du 31 décembre 2013 rédigé par le Dr C.________. Celui-ci estimait que l'assurée n'était pas limitée par des troubles psychiatriques, ne retenant que les diagnostics non invalidants de "trouble dépressif récurrent, épisode actuel léger avec syndrome somatique (F33.01) à moyen avec syndrome somatique (F33.11)" et de "trouble de la personnalité sans précision (F60.9) (personnalité frustre, à la limite de l'intelligence normale)" (dossier OAI, p. 57). Par ailleurs, on constate que les autres médecins interrogés n'attestaient pas d'incapacité de travail sur le plan somatique, y compris d'ordre neurologique (dossier OAI, p. 26, 29). En particulier, le Dr G.________, spécialiste en neurologie, indiquait que l'exercice d'une activité était encore exigible, sans perte de rendement, d'un point de vue somatique, ne faisant état de restrictions que sur le plan psychique (dossier OAI, p. 28 et 30).</w:t>
      </w:r>
    </w:p>
    <w:p>
      <w:r>
        <w:rPr>
          <w:b/>
        </w:rPr>
        <w:t>E. 7.2</w:t>
      </w:r>
    </w:p>
    <w:p>
      <w:r>
        <w:t>Sur le vu de ce qui précède, il convient d'examiner si l'état de santé de la recourante a évolué au point d'impacter sa capacité de gain. Dans leur rapport d'expertise du 30 octobre 2018, le Dr D.________ et la Dresse E.________, experts auprès de F.________, retiennent les diagnostics d'"épilepsie structurelle sur cavernome temporal gauche", de "retard mental léger (F70)", de "troubles anxieux et dépressifs mixtes (F41.2)" et de "troubles mentaux dus à une lésion cérébrale, un dysfonctionnement cérébral et à une affection physique (F06.8)". Ils estiment que la seule limitation de l'assurée réside en une perte de rendement de l'ordre de 30% liée à l'imprévisibilité des crises et à la fatigue post-critique engendrée par celles-ci (dossier OAI, p. 164).</w:t>
      </w:r>
    </w:p>
    <w:p>
      <w:r>
        <w:t>Tribunal cantonal TC Page 8 de 15 Pour arriver à ces conclusions, les deux experts avaient à disposition un exemplaire du dossier assécurologique de l'assurée, complété d'un rapport du neurologue traitant ainsi que d'une analyse sanguine. Ils se sont également entretenus avec celle-ci les 30 et 31 août 2018. A cette occasion, l'assurée a été en mesure d'indiquer le contexte de ses crises d'épilepsie (prodromes, forme des crises, phase postcritique, facteurs favorisants) ainsi que de décrire son parcours de vie, tant sur le plan familial que social, scolaire et professionnel. Pour leur part, les deux experts ont pu procéder à des examens complets dans leurs spécialités respectives. Les conclusions sont également suffisamment motivées, les deux experts fondant leurs diagnostics tant sur leurs propres observations que les pièces figurant au dossier. L'expert en neurologie estime que l'épilepsie structurelle n'affecte pas les ressources de l'assurée dont les tests sanguins attestent la compliance, évoquant une autonomie dans les activités de la vie quotidienne, l'existence d'un réseau social et d'une bonne relation avec ses enfants. Il constate aussi que la fréquence actuelle des crises – avec des périodes de plusieurs semaines à plusieurs mois sans crise – ne justifie pas de changement thérapeutique chez l'assurée. Pour sa part, l'expert-psychiatre constate l'existence de symptômes de la lignée dépressive (tristesse, difficultés de mémoire et de concentration), anxieuse (anxiété réactionnelle) et alimentaire (poids fluctuant). Ces symptômes sont cependant réactionnels au fait qu'elle ne peut pas vivre dans le même pays que son époux, interdit de séjour en Suisse. Ces symptômes, leur gravité et leurs manifestations lui font privilégier les diagnostics de "troubles anxieux et dépressifs mixtes" et de "troubles mentaux dus à une lésion cérébrale" à ceux de trouble de l'adaptation, de troubles dépressifs ou de troubles anxieux. Il exclut également le diagnostic de trouble somatoforme retenu par son prédécesseur, les critères n'étant pas réunis en l'absence de sentiment de détresse non expliqué et de manifestations anxieuses avant les chutes. Les deux experts procèdent également à une étude étayée de ces troubles sur la capacité de travail de l'assurée, y compris au regard des spécificités liées à l'évaluation de la capacité de travail chez les assurés souffrant de troubles psychiques. Sur le plan des ressources, dans leur évaluation consensuelle, les deux experts retiennent ce qui suit: "Il s'agit d'une assurée sans formation présentant une intelligence décrite comme à la limite inférieure de la norme dans le rapport psychologique de novembre 2013 (WAIS-4). L'expertisée est capable de communiquer, de s'exprimer. Elle est capable de respecter un cadre, de s'adapter avec une certaine flexibilité psychique, de s'organiser, elle est rationnelle et autonome. Elle est psychiquement endurante elle a des capacités relationnelles. Elle bénéficie de ressources sociales actuellement adéquates, d'un réseau familial et est bien entourée par des amis et par ses enfants. Il n'y a pas de facteur de surcharge". Partant, il apparaît que le rapport d'expertise du 30 octobre 2018 est suffisamment détaillé et argumenté pour se voir reconnaître une pleine force probante.</w:t>
      </w:r>
    </w:p>
    <w:p>
      <w:r>
        <w:rPr>
          <w:b/>
        </w:rPr>
        <w:t>E. 7.3</w:t>
      </w:r>
    </w:p>
    <w:p>
      <w:r>
        <w:t>Force est, au demeurant, de constater que les autres pièces au dossier, en particulier les rapports des différents médecins de l'assurée, ne remettent pas sérieusement en cause les conclusions des deux experts de F.________.</w:t>
      </w:r>
    </w:p>
    <w:p>
      <w:r>
        <w:rPr>
          <w:b/>
        </w:rPr>
        <w:t>E. 7.3.1</w:t>
      </w:r>
    </w:p>
    <w:p>
      <w:r>
        <w:t>Dans un rapport du 30 novembre 2018, le Dr H.________, spécialiste en psychiatrie et psychothérapie, retient les diagnostics de "trouble mixte des acquisitions scolaires, code F81.3", "suspicion d'un retard mental léger à moyen, code F70 à 71", "trouble de la personnalité type anancastique, code F60.5", "autre trouble anxieux mixte spéciali[s]é, code F41.8" et "épilepsie et syndrome épileptique généralisé idiopathique, code F40.3". En conclusion de son rapport, il affirme ce qui suit: "En résumé, les atteintes au niveau de ses capacités psychologiques</w:t>
      </w:r>
    </w:p>
    <w:p>
      <w:r>
        <w:t>Tribunal cantonal TC Page 9 de 15 accompagnées par des troubles neurologiques importants et handicapants m'amènent à la conclusion que [l'assurée] ne possède aucune capacité lucrative" (dossier OAI, p. 248). Force est de constater que le rapport du psychiatre n'est que peu argumenté, le médecin se contentant surtout d'évoquer différents faits et constats sans justifier ses diagnostics et conclusions. L'on ne peut au demeurant pas exclure que le médecin traitant ne se fonde pas sur une pleine connaissance des pièces au dossier, ignorant l'expertise de F.________ pour critiquer celle du Dr C.________. Pour ce motif déjà, l'avis du Dr H.________ ne saurait mettre en doute l'avis, bien motivé sur plusieurs dizaines de pages d'une écriture dense, des deux experts. Par ailleurs, le médecin apparaît prendre en compte des éléments psychosociaux, lesquels ne sont pas du ressort de l'assurance-invalidité. Tel est notamment le cas lorsqu'il souligne que sa patiente "n'a réussi aucune formation professionnelle", "n'a jamais eu un soutien psychologique" – étant relevé qu'il est sensé la suivre depuis 2012 (dossier OAI, p. 37) – et que "sa vie est meublée par des difficultés, des déceptions (mariage mais elle a dû élever ses 3 enfants seule, le mari ayant dû quitter la Suisse pour des questions juridiques)". Quoi qu'il en soit, l'on doit souligner que le psychiatre traitant émettait un avis en tout point identique dans un rapport du 2 juillet 2013, tant s'agissant de l'évaluation de l'incapacité de travail que sur le plan diagnostic. Il mentionne par ailleurs un traitement limité à de la Dépakine et à de l'Urbanyl, à savoir des antiépileptiques (dossier OAI, p. 37). Le médecin n'atteste donc d'aucune péjoration de l'état de sa patiente sur le plan psychiatrique mais uniquement d'un état stationnaire. Tout au plus se contente-t-il d'exprimer un avis divergent de celui des différents experts mandatés par l'OAI.</w:t>
      </w:r>
    </w:p>
    <w:p>
      <w:r>
        <w:rPr>
          <w:b/>
        </w:rPr>
        <w:t>E. 7.3.2</w:t>
      </w:r>
    </w:p>
    <w:p>
      <w:r>
        <w:t>Dans ses différents rapports, le Dr G.________ – spécialiste auquel renvoie par ailleurs le généraliste traitant, le Dr I.________, médecin praticien (dossier OAI, p. 136) – fait état du diagnostic d'"épilepsie symptomatique surcavernome temporal gauche", avec une fréquence des crises s'étant aggravée avec le temps (dossier OAI, p. 104). Dans un rapport du 25 novembre 2016, le médecin indiquait qu'une activité professionnelle n'était pas envisageable mais ne mentionnait pourtant une incapacité de travaille que durant l'"année 2011" (dossier OAI, p. 128). En revanche, dans un rapport ultérieur, il précise que sa patiente était en mesure de travailler à un taux de 50% à 70%, sans perte de rendement, évoquant des restrictions quant au travail à horaires irréguliers et au travail en hauteur. Il souligne au passage que "le problème est surtout psychosocial" (rapport du 21 mai 2017, dossier OAI, p. 104, 128 et 138; cf. ég. p. 224). Mis en lien, les différents rapports du médecin mettent en évidence que, si incapacité de travail il y a, celle-ci n'est que partiellement à mettre en relation avec des troubles neurologiques. D'un point de vue strictement médical, ceux-ci ne sont responsables que d'une diminution de la capacité de travail de l'ordre de 30% à 50%, ce qui correspond en partie à la parte de rendement que retiennent les experts de F.________.</w:t>
      </w:r>
    </w:p>
    <w:p>
      <w:r>
        <w:rPr>
          <w:b/>
        </w:rPr>
        <w:t>E. 7.4</w:t>
      </w:r>
    </w:p>
    <w:p>
      <w:r>
        <w:t>Il ressort de ce qui précède que si, sur le plan psychiatrique, l'état de santé de la recourante n'a pas évolué, on constate une certaine aggravation sur le plan neurologique. Cette aggravation limite la recourante dans l'exercice d'une activité sous la forme d'une perte de rendement de 30%.</w:t>
      </w:r>
    </w:p>
    <w:p>
      <w:r>
        <w:t>Tribunal cantonal TC Page 10 de 15</w:t>
      </w:r>
    </w:p>
    <w:p>
      <w:r>
        <w:rPr>
          <w:b/>
        </w:rPr>
        <w:t>E. 8</w:t>
      </w:r>
    </w:p>
    <w:p>
      <w:r>
        <w:t>Compte tenu de cette importante capacité de travail résiduelle dans une activité lucrative, la Cour est en mesure de procéder au calcul du degré d'invalidité sans examiner plus avant les empêchements de l'assurée dans la tenue de son ménage.</w:t>
      </w:r>
    </w:p>
    <w:p>
      <w:r>
        <w:rPr>
          <w:b/>
        </w:rPr>
        <w:t>E. 8.1</w:t>
      </w:r>
    </w:p>
    <w:p>
      <w:r>
        <w:t>Lorsque l'assuré exerce à la fois une activité lucrative à temps partiel et s'occupe du ménage ou serait actif dans un autre champ d'activité, l'on applique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 76 p. 221; RCC 1992 p. 136 consid. 1a et les références). La durée de travail effectivement accomplie dans le ménage et la profession est ici sans importance (RCC 1980 p. 564). La méthode mixte d'évaluation du taux d'invalidité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l'interdiction de discrimination (art. 14 CEDH; cf. arrêt CourEDH n. 7186/09 Di Trizio c. Suisse du 2 février 2016). Suite à cet arrêt, l'art. 27bis al. 2 à 4 RAI a été modifié et sa nouvelle formulation est entrée en vigueur au 1er janvier 2018. Celui-ci prescrit désormais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8.2</w:t>
      </w:r>
    </w:p>
    <w:p>
      <w:r>
        <w:t>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t>Tribunal cantonal TC Page 11 de 15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Pour sa part, 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w:t>
      </w:r>
    </w:p>
    <w:p>
      <w:r>
        <w:rPr>
          <w:b/>
        </w:rPr>
        <w:t>E. 8.3</w:t>
      </w:r>
    </w:p>
    <w:p>
      <w:r>
        <w:t>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RAI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2014). De jurisprudence constante, la personne assurée est notamment tenue d'adopter une méthode de travail adéquate, de répartir son travail en conséquence et de demander l'aide de ses proches dans une mesure convenable (cf. not. ATF 133 V 504 consid. 4.2).</w:t>
      </w:r>
    </w:p>
    <w:p>
      <w:r>
        <w:rPr>
          <w:b/>
        </w:rPr>
        <w:t>E. 9</w:t>
      </w:r>
    </w:p>
    <w:p>
      <w:r>
        <w:t>En l'occurrence, il convient d'abord de calculer le degré d'invalidité de l'assurée dans l'exercice d'une activité lucrative, étant rappelée l'application de la méthode mixte selon une répartition de 80% au titre de l'activité lucrative et de 20% au titre des activités ménagères. A lire les montants figurant dans l'extrait de compte individuel, il apparaît que l'assurée n'a plus travaillé à temps plein depuis 1987. A l'exception de montants en lien avec des prestations de chômage pour les années 1992, 1993 et 1997, il s'agit en effet des seuls montants dont la valeur dépasse les CHF 20'000.-. Compte tenu de l'ancienneté de cette activité et des montants cotisés, la détermination exacte du revenu de valide apparaît donc complexe et ne saurait constituer la base de calcul adéquate pour la comparaison des revenus. Cela vaut d'autant plus que l'assurée a interrompu son activité professionnelle pour des raisons étrangères à son atteinte à la santé, vraisemblablement pour assurer l'éducation de ses enfants. En outre, l'on constate qu'elle ne bénéficie pas de formation professionnelle spécifique et que la diminution du rendement de 30% ne limite en soi pas les activités qui lui sont ouvertes. Dans ces circonstances, l'on peut – à l'instar de l'autorité intimée dans l'une des motivations de sa décision du 19 juin 2019 – procéder à une comparaison par pourcentage. Cela revient à ce que le degré d'invalidité correspond directement à l'incapacité de travail de 30% reconnue par les experts. Les circonstances du présent cas ne rendent pas plausible la nécessité de prendre en compte une réduction supplémentaire au titre de désavantage salarial, l'impact des atteintes à la santé ayant été pris en compte par le biais d'une diminution du rendement. L'on relève à cet égard que si une intelligence à la limite inférieure de la norme a été évoquée par les experts, laquelle préexistait à son problème de santé, elle n'a pas conduit à la prise en compte d'une quelconque diminution de la capacité de travail de cette assurée – au demeurant d'origine suisse et encore relativement jeune. Partant, sur le plan lucratif, l'on retient que le degré d'invalidité de la recourante est de 30%. Compte tenu du fait que la recourante n'exercerait, en santé, une activité lucrative qu'à un taux de 80%, cela correspond à un degré d'invalidité de 24%.</w:t>
      </w:r>
    </w:p>
    <w:p>
      <w:r>
        <w:t>Tribunal cantonal TC Page 13 de 15</w:t>
      </w:r>
    </w:p>
    <w:p>
      <w:r>
        <w:rPr>
          <w:b/>
        </w:rPr>
        <w:t>E. 10</w:t>
      </w:r>
    </w:p>
    <w:p>
      <w:r>
        <w:t>Compte tenu de ce qui précède, les empêchements de la recourante dans la tenue de son ménage devraient correspondre à un taux supérieur à 75% pour qu'elle puisse se voir reconnaître le droit à une rente (75% x 20% = 15%, correspondant à un degré d'invalidité total de 39%). Or, à lire les différentes pièces au dossier, il apparaît exclu que l'état de santé de l'assurée la restreigne à ce point dans la tenue de son ménage. En particulier, les deux rapports d'expertise rapportent des limitations relativement réduites, décrivant notamment que l'assurée est en mesure de réaliser seule ses courses, de tenir seule son ménage et de s'occuper seule de ses activités administratives. En cas de crise, les experts indiquent que "l'expertisée chute (sans blessure), puis se relève après 10 min, reprenant son tonus et ses activités instantanément [...] Depuis que l'expertisée possède un chien (2015), « il l'avertirait de l'imminence des crises par de petits aboiements », ce qui permettrait à l'expertisée de s'assoir avant que ça tourne et que ça chauffe, ce qui fait que l'expertisée ne chute plus. Son chien l'avertirait « de la fin imminente de la crise » ce qui lui permettrait de reprendre ses activités instantanément « avec plus de sécurité »" (dossier OAI, p. 173 et 200). Dans ce contexte, il n'est pas vraisemblable que l'assurée subisse des limitations d'une gravité telle qu'il faudrait lui reconnaître une incapacité significative sur le plan ménager. Cela est d'autant moins le cas que, de jurisprudence constante, la personne assurée est tenue d'adopter une méthode de travail adéquate, de répartir son travail en conséquence et de demander l'aide de ses proches – étant précisé que l'assurée habite avec son fils aîné (cf. dossier OAI, p. 200) – dans une mesure convenable (cf. not. ATF 133 V 504 consid. 4.2). C'est dès lors à juste titre que l'OAI n'a pas procédé à d'autres investigations sur ce plan. Compte tenu de ce qui précède, il est avéré que le degré d'invalidité de l'assurée est demeuré inférieur à 40%, de sorte qu'elle ne saurait se voir reconnaître le droit à une rente d'invalidité. Partant, mal fondé, le recours (608 2019 215) est rejeté et la décision du 19 juin 2019 confirmée. Sous réserve de l'octroi de l'assistance judiciaire, les frais de procédure sont fixés à CHF 800.- et mis à la charge de la recourante qui succombe. Il n'est pas octroyé de dépens.</w:t>
      </w:r>
    </w:p>
    <w:p>
      <w:r>
        <w:rPr>
          <w:b/>
        </w:rPr>
        <w:t>E. 11</w:t>
      </w:r>
    </w:p>
    <w:p>
      <w:r>
        <w:t>La recourante sollicite le bénéfice de l'assistance judiciaire totale (608 2019 2016) dans le cadre du recours contre la décision du 19 juin 2019.</w:t>
      </w:r>
    </w:p>
    <w:p>
      <w:r>
        <w:rPr>
          <w:b/>
        </w:rPr>
        <w:t>E. 11.1</w:t>
      </w:r>
    </w:p>
    <w:p>
      <w:r>
        <w:t>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w:t>
      </w:r>
    </w:p>
    <w:p>
      <w:r>
        <w:t>Tribunal cantonal TC Page 14 de 15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w:t>
      </w:r>
    </w:p>
    <w:p>
      <w:r>
        <w:rPr>
          <w:b/>
        </w:rPr>
        <w:t>E. 11.2</w:t>
      </w:r>
    </w:p>
    <w:p>
      <w:r>
        <w:t>La recourante est soutenue par le service de l'aide sociale de sa commune. Dans ces circonstances et sans de plus amples démonstrations, la condition de l'indigence est en l'occurrence vraisemblablement remplie. S'agissant de la seconde des conditions des chances de succès, il convient de relever que les arguments invoqués à l'appui du recours n'apparaissaient, à première vue, pas d'un très grand poids. Cela étant, l'examen du dossier auquel a dû se livrer la Cour a tout de même présenté certaines difficultés, de sorte qu'il n'est pas possible d'en conclure que le recours était d'emblée dénué de toute chance de succès. Il s'ensuit que la requête d'assistance judiciaire gratuite totale (608 2019 216) peut être admise et Me Daniel Känel, avocat, désigné comme défenseur d'office.</w:t>
      </w:r>
    </w:p>
    <w:p>
      <w:r>
        <w:rPr>
          <w:b/>
        </w:rPr>
        <w:t>E. 11.3</w:t>
      </w:r>
    </w:p>
    <w:p>
      <w:r>
        <w:t>Le 9 septembre 2019, le mandataire de la recourante a produit sa liste de frais, d'un montant total de CHF 1'806.80, à savoir CHF 1'710.- au titre d'honoraires (570 minutes à CHF 180.-/heure), CHF 85.50 au titre de débours (5%) et CHF 11.30 au titre de vacations. Le 17 juillet 2020, il corrige sa liste de frais du 9 septembre 2019, ayant mentionné les frais de correspondance à double, et précise ne pas être soumis à la TVA. La liste de frais correspond désormais à un montant total de CHF 1'795.50, à savoir CHF 1'710.- au titre d'honoraires (570 minutes à CHF 180.-/heure) et CHF 85.50 au titre de débours (5%). Toutefois, même corrigées, les listes de frais produites n'apparaissent pas conformes aux exigences du tarif cantonal du 17 décembre 1991 des frais de procédure et des indemnités en matière de juridiction administrative (Tarif JA, RSF 150.12). En effet, les débours de CHF 85.50 sont calculés de manière forfaitaire alors que cette méthode n'est pas prévue en matière d’assurances sociales (cf. arrêt TC 605 2016 93 du 7 mars 2017; cf. ég. art. 11 al. 2 Tarif JA; art. 68 du règlement du 30 novembre 2010 sur la justice, RJ; RSF 130.11). En revanche, le montant de CHF 11.30, indiqué au titre de "vacations" dans la liste de frais du 9 septembre 2019, correspond au total d'une colonne dénommée "frais". Ce montant sera retenu au titre de débours. Partant, l'indemnité du défenseur désigné est fixée à un montant total de CHF 1'721.30, à savoir à CHF 1'710.- au titre d'honoraires et CHF 11.30 au titre de frais. Il est mis à la charge de l'état de Fribourg. En raison de l'octroi de l'assistance judiciaire totale, les frais de justice ne seront pas prélevés. (dispositif en page suivante)</w:t>
      </w:r>
    </w:p>
    <w:p>
      <w:r>
        <w:t>Tribunal cantonal TC Page 15 de 15 la Cour arrête : I. Le recours (608 2019 215) est rejeté. II. La requête d'assistance judiciaire gratuite totale (608 2019 216) est admise pour la procédure de recours et Me Daniel Känel, avocat, est désigné défenseur d'office. III. Les frais de procédure, par CHF 800.- sont mis à la charge de la recourante mais ne sont toutefois pas prélevés en raison de l'assistance judiciaire gratuite totale qui lui a été accordée. IV. L'indemnité allouée à Me Daniel Känel, en sa qualité de défenseur d'office, est fixée à CHF 1'721.30, sans TVA,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17 août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