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192 vom 4. September 2019</w:t>
      </w:r>
    </w:p>
    <w:p>
      <w:r>
        <w:t>FR Kantonsgericht, 2019-09-04, FR</w:t>
      </w:r>
    </w:p>
    <w:p>
      <w:r>
        <w:rPr>
          <w:b/>
        </w:rPr>
        <w:t xml:space="preserve">Quelle: </w:t>
      </w:r>
      <w:r>
        <w:t>https://mcp.opencaselaw.ch/entscheid/fr_gerichte_608_2019_192</w:t>
      </w:r>
    </w:p>
    <w:p>
      <w:r>
        <w:t>FR: FR_GERICHTE 608 2019 192 du 4 septembre 2019</w:t>
      </w:r>
    </w:p>
    <w:p>
      <w:r>
        <w:t>IT: FR_GERICHTE 608 2019 192 del 4 settembre 2019</w:t>
      </w:r>
    </w:p>
    <w:p>
      <w:pPr>
        <w:pStyle w:val="Heading2"/>
      </w:pPr>
      <w:r>
        <w:t>Regeste</w:t>
      </w:r>
    </w:p>
    <w:p>
      <w:r>
        <w:t>Arrêt de IIe Cour des assurances sociales du Tribunal cantonal | Invalidenversicherung</w:t>
      </w:r>
    </w:p>
    <w:p>
      <w:pPr>
        <w:pStyle w:val="Heading2"/>
      </w:pPr>
      <w:r>
        <w:t>Erwägungen</w:t>
      </w:r>
    </w:p>
    <w:p>
      <w:r>
        <w:rPr>
          <w:b/>
        </w:rPr>
        <w:t>E. 25</w:t>
      </w:r>
    </w:p>
    <w:p>
      <w:r>
        <w:t>septembre 2017. Le 25 janvier 2019, l'OAI a annoncé la clôture de la phase d'intervention précoce et le fait qu'aucune mesure de réadaptation d'ordre professionnel n'entrait actuellement en ligne de compte. B. Par décision du 11 juin 2019 confirmant son projet du 1er mai 2019, l'OAI a rejeté la demande de prestations (mesures professionnelles ou rente), considérant que l'incapacité de travail avait été attestée médicalement depuis le 28 septembre 2018, et qu'avant l'échéance du délai d'un an, l'assurée pouvait reprendre son activité habituelle à son taux antérieur. A défaut d'incapacité de travail durant une année au moins, les conditions d'ouverture du droit à la rente n'étaient pas remplies et la mise sur pied d'éventuelles mesures d'ordre professionnel n'était par conséquent pas nécessaire à la sauvegarde de la capacité de travail et de gain. C. Contre cette décision, l'intéressée recourt devant la Cour des assurances sociales du Tribunal cantonal le 4 juillet 2019. Elle conclut, sous suite de frais et dépens, principalement, à l'octroi d'une rente entière illimitée, respectivement de mesures professionnelles; subsidiairement, au renvoi à l'OAI pour mesures d'instruction complémentaires et nouvelle décision au sens des considérants. Elle fait valoir être en incapacité de gain persistante, sans aucune amélioration notable, à tout le moins, à 70% depuis le 1er juin 2018, et que son assurance perte de gain maladie a versé des prestations du 25 septembre 2017 au 20 juillet 2018, y mettant fin alors, sur la base uniquement d'une expertise contestée et contestable. Une reconsidération a été demandée à cet assureur au vu d'appréciations médicales entièrement contradictoires dans ce dossier. Le 17 juillet 2019, l'assurée verse l'avance de frais de CHF 800.- demandée. D. Dans ses observations du 6 août 2019, l'OAI conclut au rejet du recours, se référant notamment à l'expertise susmentionnée, que ne saurait remettre en cause le seul fait qu'un ou plusieurs médecins traitants aient une opinion contradictoire. Aucun échange supplémentaire d'écritures n'a été ordonné. Autant qu’utiles à la solution du litige, il sera fait état des arguments développés par les parties à l’appui de leurs conclusions respectives dans les considérants de droit du présent arrêt. en droit 1. Interjeté en temps utile par une assurée, dûment représentée et directement touchée par la décision attaquée, le recours est recevable.</w:t>
      </w:r>
    </w:p>
    <w:p>
      <w:r>
        <w:t>Tribunal cantonal TC Page 3 de 7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2.2.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les références; cf. aussi arrêt TF 9C_644/2015 du 3 mai 2016 consid. 4.3.1; 9C_163/2009 du 10 septembre 2010 consid. 4.2.2 in SVR 2011 IV Nr. 3). S'agissant de l'octroi d'une mesure de reclassement,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130 V 488 consid. 4.2 et les références). 2.3.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4 de 7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De jurisprudence constante, une certaine réserve est, cas échéant, de mise s'agissant de l'appréciation de l'incapacité de travail par le médecin traitant dès lors que celui-ci, vu la relation de confiance qui l'unit à son patient, est généralement enclin, en cas de doute, à prendre parti pour lui (ATF 125 V 351 consid. 3b/cc et les références citées). 2.4. Selon l'art. 43 LPGA, l'OAI examine les demandes, prend d'office les mesures d'instruction nécessaires et recueille les renseignements dont il a besoin (cf. al. 1). L'assuré doit se soumettre à des examens médicaux ou techniques si ceux-ci sont nécessaires à l'appréciation du cas et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Conformément au principe inquisitoire,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(Cst.; RS 101). Conformément à l'art. 61 let. c</w:t>
      </w:r>
    </w:p>
    <w:p>
      <w:r>
        <w:t>Tribunal cantonal TC Page 5 de 7 seconde phrase LPGA, la maxime inquisitoire est applicable à la procédure judiciaire cantonale. En vertu de ce principe, il appartient au juge d'établir d'office l'ensemble des faits déterminants pour la solution du litige et d'administrer cas échéant les preuves nécessaires. En général, les parties ne supportent ni le fardeau de l'allégation, ni celui de l'administration des preuves. Cette maxime est cependant relativisée par son corollaire, le devoir de collaborer des parties au sens de l'art. 61 let. c première phrase LPGA, lequel comprend l'obligation d'apporter les preuves commandées par la nature du litige et des faits invoqués dans la mesure où cela est raisonnablement exigible. 3. Le litige porte sur le droit de l'assurée à des prestations de l'AI. 3.1. La seule contestation, sans autre précision, de l'expertise mise en œuvre par l'assureur perte de gain, au dossier duquel il est juste renvoyé, avec l'unique assertion, "sans entrer dans les détails ici et en bref", ainsi que la simple affirmation selon laquelle les pièces rapportées dans le cadre du litige extra-judiciaire avec dit assureur montreraient que l'ouverture du droit aux prestations AI est donnée, ne satisfont pas au devoir de collaboration et de motivation de la recourante. Cela étant, cela ne porte pas à conséquence, au vu de ce qui suit. 3.2. L'OAI a retenu dans la décision attaquée un recouvrement d'une capacité pleine et entière dans l'activité habituelle avant l'échéance d'un délai d'un an partant depuis le 28 septembre 2018, de sorte que ni le droit à des mesures d'ordre professionnel ni celui à une rente n'avaient été ouverts. La Cour relève qu'il ressort du dossier que l'incapacité de travail a débuté le 25 septembre 2017, que le médecin traitant l'a attestée depuis le 28 septembre 2017, et non 2018, et que ce praticien a indiqué, le 10 décembre 2018, qu'elle perdurait toujours, au taux de 70% désormais (cf. notamment dos. OAI p. 45; également p. 30, 51, 54ss [décomptes d'indemnités journalières jusqu'au 19 septembre 2018], 61s., 69 et 80). Et qu'outre cette erreur, la décision attaquée souffre d'un défaut de motivation dans la mesure où il n'y est pas expliqué depuis quand précisément (et sur quelle base médicale) l'OAI considère qu'une capacité de travail totale dans l'activité habituelle a été recouvrée. S'il se fondait à cet égard sur l'avis d'un expert-rhumatologue (cf. infra; expertise, p. 10), l'on remarquera en sus que celui-ci a attesté d'une capacité de travail de 100%, dès le 20 septembre 2018, en répondant à une question quant à une activité adaptée; concernant l'exigibilité de l'activité de co-tenancière d'un restaurant, il estimait, sur le plan purement rhumatologique, à 60% la capacité de travail, avec une augmentation de 20% par mois pour un plein temps réalisé en deux mois, afin que l'assurée puisse bénéficier de la prise en charge thérapeutique proposée (p. 9). Cela étant, il n'y a pas lieu d'examiner ces éléments plus avant au vu des considérants suivants. 3.3. Dans son rapport d'expertise du 20 septembre 2018 mise en œuvre à la demande de l'assureur perte de gain (cf. dos OAI 71), le Dr B.________, spécialiste en médecine interne générale et en rhumatologie, pose (ch. 5.1. de l'expertise), sans répercussion sur la capacité de travail, le diagnostic de syndrome poly-insertionnel douloureux récurrent de type fibromyalgiforme; également sans répercussion sur cette capacité (ch. 5.2): un syndrome cervico-dorso-lombaire sans signe radiculaire irritatif ou déficitaire, avec une hernie-spongieuse du plateau inférieur de</w:t>
      </w:r>
    </w:p>
    <w:p>
      <w:r>
        <w:t>Tribunal cantonal TC Page 6 de 7 D10, ainsi qu'un status post appendicectomie en 1990. La capacité de travail dans une activité adaptée est de 100% dès le 20 septembre 2018. 3.3.1.Ainsi qu'écrit, les atteintes à la santé psychique peuvent également entraîner une invalidité. Suite à l'arrêt TF 9C_482/2014 du 3 juin 2015 (ATF 141 V 281) l'évaluation, respectivement, de la capacité de travail et de l'incapacité de travail en cas de syndrome douloureux somatoforme et d'affections psychosomatiques comparables a été revue (adoption d'un catalogue d'indicateurs) et la présomption selon laquelle les troubles somatoformes douloureux ou leurs effets pouvaient être surmontés par un effort de volonté raisonnablement exigible, abandonnée (ATF 141 V 281 consid. 3.4, 3.5 et 4). Dans ses arrêts publiés aux ATF 143 V 409 et 418, le Tribunal fédéral a retenu que toutes les affections psychiques devaient en principe faire l'objet d'une telle procédure probatoire structurée (ATF 143 V 418 consid. 6 et 7). Une telle évaluation est cependant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409 consid. 4.5). En outre, la Haute Cour a considéré à plusieurs reprises que le concours d'un médecin spécialisé en psychiatrie est nécessaire pour poser le diagnostic de trouble somatoforme douloureux ou de fibromyalgie dans la mesure où les facteurs psychosomatiques ont une influence décisive sur le développement de cette atteinte à la santé (cf. arrêt TF 9C_176/2018 du 16 août 2018 consid. 3.2.2; ATF 132 V 65 consid. 4.3; arrêt TF 9C_430/2009 du 27 novembre 2009 consid. 3.4). 3.3.2.En l'espèce, l'expert-rhumatologue a certes dénié un effet incapacitant au syndrome fibromyalgiforme (cf. p. 9s.). La Cour relève toutefois que ce diagnostic a été inscrit avant et indépendamment de celui relatif à la problématique cervico-dorso-lombaire lombaire et qu'il est décrit comme récurent. Si le pronostic rhumatologique a été jugé bon et si la lésion dorsale "n'a pas de lien de causalité entre l'ampleur de la symptomatologie douloureuse et l'impotence fonctionnelle dans la vie quotidienne et professionnelle" (p. 9), à plusieurs reprises, l'expert a toutefois mis en exergue la symptomatologie intervenue, s'inscrivant en avant-plan d'une nette diminution du seuil de déclanchement de la douleur, avec syndrome fibromyalgiforme. A côté d'une absence de signes de non-organicité de Waddell, il note une présence de 18 points sur 18 d'insertion selon Smythe positifs (p. 7; également une importante fatigue, p. 2). Il a souligné qu'un traitement de type tricyclique dans le but de rehausser le seuil de la douleur pourrait être proposé (p. 9; à relever également les mentions d'asthénie et de dépression réactionnelle évoquées par le généraliste traitant, le 10 décembre 2018, dos. OAI 46s.). Au vu du dossier médical se rapportant à la problématique purement somatique, et non psychique, force est pour la Cour de considérer, dans le cas d'espèce, que l'OAI ne pouvait faire l'économie d'une appréciation par un médecin spécialiste en psychiatrie, se prononçant de façon probante sur l'état de santé de l'assurée et les conséquences sur sa capacité de travail. Ce défaut d'instruction empêche l'Autorité de céans de statuer sur ces points, et en particulier relativement à ces douleurs, que l'expert ne semble pas fonder sur des substrats médicaux ou déficits organiques objectivables déterminants, et qui, à ce stade, paraissent devoir être évaluées conformément à la jurisprudence relative aux troubles somatoformes douloureux et aux affections assimilées.</w:t>
      </w:r>
    </w:p>
    <w:p>
      <w:r>
        <w:t>Tribunal cantonal TC Page 7 de 7 4. Partant, le recours doit être admis, la décision attaquée, annulée, et le dossier, renvoyé à l'autorité intimée pour qu'elle mette en œuvre toute mesure d'instruction s'imposant sur le plan médical, et à tout le moins un examen psychiatrique approprié, problématique qu'elle n'a jusqu'alors pas investiguée, autorisant le présent renvoi (cf. ATF 137 V 210). Elle rendra ensuite une nouvelle décision. Les frais de justice, fixés à CHF 800.-, seront mis à la charge de l'OAI, qui succombe. L’avance de frais de CHF 800.- sera restituée à la recourante après l’entrée en force du présent arrêt. Le renvoi de la cause valant gain de cause total s'agissant de l'octroi des dépens, la recourante, représentée par une assistance juridique, a droit à une indemnité pour ses frais et dépens fixée à un forfait de CHF 1'500.-, débours et éventuelle TVA compris. la Cour arrête : I. Le recours est admis. Partant, la décision du 11 juin 2019 est annulée et la cause renvoyée à l'autorité intimée pour instruction complémentaire au sens des considérants et nouvelle décision. II. Les frais de procédure, par CHF 800.-, sont mis à la charge de l'Office de l'assurance- invalidité du canton de Fribourg. L’avance de frais de CHF 800.- de la recourante lui est restituée. III. L'indemnité de partie allouée à la recourante pour ses frais de défense est fixée à CHF 1'500.-, débours et éventuelle TVA compris.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