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173 vom 2. September 2019</w:t>
      </w:r>
    </w:p>
    <w:p>
      <w:r>
        <w:t>FR Kantonsgericht, 2019-09-02, DE</w:t>
      </w:r>
    </w:p>
    <w:p>
      <w:r>
        <w:rPr>
          <w:b/>
        </w:rPr>
        <w:t xml:space="preserve">Quelle: </w:t>
      </w:r>
      <w:r>
        <w:t>https://mcp.opencaselaw.ch/entscheid/fr_gerichte_608_2019_173</w:t>
      </w:r>
    </w:p>
    <w:p>
      <w:r>
        <w:t>FR: FR_GERICHTE 608 2019 173 du 2 septembre 2019</w:t>
      </w:r>
    </w:p>
    <w:p>
      <w:r>
        <w:t>IT: FR_GERICHTE 608 2019 173 del 2 settembre 2019</w:t>
      </w:r>
    </w:p>
    <w:p>
      <w:pPr>
        <w:pStyle w:val="Heading2"/>
      </w:pPr>
      <w:r>
        <w:t>Regeste</w:t>
      </w:r>
    </w:p>
    <w:p>
      <w:r>
        <w:t>Entscheid des II. Sozialversicherungsgerichtshofes des Kantonsgerichts | Invalidenversicherung</w:t>
      </w:r>
    </w:p>
    <w:p>
      <w:pPr>
        <w:pStyle w:val="Heading2"/>
      </w:pPr>
      <w:r>
        <w:t>Erwägungen</w:t>
      </w:r>
    </w:p>
    <w:p>
      <w:r>
        <w:rPr>
          <w:b/>
        </w:rPr>
        <w:t>E. 1</w:t>
      </w:r>
    </w:p>
    <w:p>
      <w:r>
        <w:t>Die Beschwerde vom 9. Juni 2019 gegen die Verfügung vom 21. Mai 2019 ist frist- und formge- recht bei der sachlich und örtlich zuständigen Beschwerdeinstanz eingereicht worden. Die Beschwerdeführerin hat ein schutzwürdiges Interesse daran, dass das Kantonsgericht, II. Sozial- versicherungsgerichtshof, prüft, ob die IV-Stelle zu Recht auf ihr Leistungsbegehren vom 11. März 2019 nicht eingetreten ist. Auf die Beschwerde ist einzutreten.</w:t>
      </w:r>
    </w:p>
    <w:p>
      <w:r>
        <w:rPr>
          <w:b/>
        </w:rPr>
        <w:t>E. 2.1</w:t>
      </w:r>
    </w:p>
    <w:p>
      <w:r>
        <w:t>Im Sinne von Art. 8 des Bundesgesetzes vom 6. Oktober 2000 über den Allgemeinen Teil des Sozialversicherungsrechts (ATSG; SR 830.1), welches hier aufgrund von Art. 1 Abs. 1 des Bundesgesetzes vom 19. Juni 1959 über die Invalidenversicherung (IVG; SR 831.20) zur Anwen- dung kommt, ist Invalidität die voraussichtlich bleibende oder längere Zeit dauernde ganze oder teilweise Erwerbsunfähigkeit. Gemäss Art. 4 Abs. 1 IVG kann Invalidität die Folge von Geburtsge- 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allerdings den bisher geltenden Begriff der Erwerbsunfähigkeit nicht modifiziert, BGE 135 V 215 E. 7.3).</w:t>
      </w:r>
    </w:p>
    <w:p>
      <w:r>
        <w:rPr>
          <w:b/>
        </w:rPr>
        <w:t>E. 2.2</w:t>
      </w:r>
    </w:p>
    <w:p>
      <w:r>
        <w:t>Wurde gemäss Art. 87 Abs. 3 der Verordnung vom 17. Januar 1961 über die Invalidenversi- cherung (IVV; SR 831.201) eine Rente wegen eines zu geringen Invaliditätsgrades verweigert, so wird eine neue Anmeldung nur geprüft, wenn die Voraussetzungen gemäss Abs. 2 erfüllt sind. Demnach ist wie bei einem Revisionsgesuch auch bei einer Neuanmeldung glaubhaft zu machen, dass sich der Grad der Invalidität der versicherten Person in einer für den Anspruch erheblichen Weise geändert hat.</w:t>
      </w:r>
    </w:p>
    <w:p>
      <w:r>
        <w:t>Kantonsgericht KG Seite 4 von 7 Art. 87 Abs. 3 IVV beruht auf dem Gedanken, dass die Rechtskraft der früheren Verfügung einer neuen Prüfung so lange entgegensteht, als der seinerzeit beurteilte Sachverhalt sich in der Zwischenzeit nicht verändert hat. Damit soll verhindert werden, dass sich die Verwaltung nach vorangegangener rechtskräftiger Anspruchsbegründung immer wieder mit gleichlautenden und nicht näher begründeten, das heisst keine Veränderung des Sachverhalts darlegenden Gesuchen befassen muss (BGE 130 V 64 E. 5.2.3). Im Verfahren der Neuanmeldung nach Art. 87 Abs. 2 und 3 IVV spielt der Untersuchungsgrundsatz (Art. 43 Abs. 1 A TSG) insoweit nicht, als die versicherte Person in Bezug auf das Vorliegen einer glaubhaften Änderung der tatsächlichen Verhältnisse seit der letzten rechtskräftigen Leistungsver- wiegerung eine Beweisführungslast trifft (Urteil BGer 9C_367/2016 vom 10. August 2016 E. 2.3, in SVR 2016IVNr.57S.188). Daraus ergibt sich, dass die versicherte Person mit der Neuanmeldung die massgebliche Tatsachenänderung glaubhaft machen muss. Wird in der Neuanmeldung kein Eintretenstatbestand glaubhaft gemacht, legen die Gerichte ihrer beschwerdeweisen Überprüfung den Sachverhalt zu Grunde, wie er sich der Verwaltung bot (BGE 130 V 64 E. 5.2.5 mit Hinwei- sen). Entsprechend wird die Rechtmässigkeit des angefochtenen Entscheids vom Gericht in der Regel aufgrund des Sachverhalts im Zeitpunkt der angefochtenen Verfügung geprüft und nicht, wie er im Urteilszeitpunkt wäre (Urteil EVGer I 896/05 vom 23. Mai 2006 E. 1).</w:t>
      </w:r>
    </w:p>
    <w:p>
      <w:r>
        <w:rPr>
          <w:b/>
        </w:rPr>
        <w:t>E. 2.3</w:t>
      </w:r>
    </w:p>
    <w:p>
      <w:r>
        <w:t>Nach Eingang einer Neuanmeldung ist die Verwaltung zunächst zur Prüfung verpflichtet, ob die Vorbringen der versicherten Person überhaupt glaubhaft sind. Ist im gesamten für die Anspruchsberechtigung erheblichen Tatsachenspektrum eine Änderung glaubhaft gemacht, ist die Verwaltung verpflichtet, auf das neue Leistungsbegehren einzutreten und es in tatsächlicher (wie auch in rechtlicher) Hinsicht allseitig zu prüfen (BGE 117 V 198 E. 4b). Verneint sie dies, so erle- digt sie das Gesuch ohne weitere Abklärung durch Nichteintreten. Dabei wird sie unter anderem zu berücksichtigen haben, ob die frühere Verfügung nur kurze oder schon längere Zeit zurückliegt, und dementsprechend an die Glaubhaftmachung höhere oder weniger hohe Anforderungen stellen; insoweit steht ihr ein gewisser Beurteilungsspielraum zu, den der Richter zu respektieren hat (Urteil BGer I 489/05 vom 4. April 2007 E. 4.2 mit Hinweis; Urteil EVGer I 888/05 vom 7. Juni 2006 E. 2 mit Hinweis; BGE 109 V 108 E. 2). Daher hat der Richter die Behandlung der Eintretens- frage durch die Verwaltung nur zu überprüfen, wenn das Eintreten streitig ist, das heisst wenn die Verwaltung gestützt auf Art. 87 Abs. 3 IVV Nichteintreten beschlossen hat und die versicherte Person deswegen Beschwerde führt; hingegen unterbleibt eine richterliche Beurteilung der Eintre- tensfrage, wenn die Verwaltung auf die Neuanmeldung eingetreten ist. Unterbreitet die Verwaltung einen medizinischen Sachverhalt dem RAD zur ärztlichen Stellungnahme, bedeutet dies noch nicht, dass die Verwaltung auf das Leistungsbegehren eingetreten ist; der eingeholte Bericht des RAD kann auch Grundlage eines Nichteintretensentscheids sein (Urteil BGer 9C_789/2012 vom 27. Juli 2013 E. 3.2). Die zeitliche Vergleichsbasis für die Prüfung einer anspruchserheblichen Änderung im Sinne von Art. 87 Abs. 3 IVV bildet bei der Neuanmeldung wie auch bei der Rentenrevision die letzte rechts- kräftige Verfügung, welche auf einer materiellen Prüfung des geltend gemachten Rentenanspruchs mit rechtskonformer Sachverhaltsabklärung, Beweiswürdigung und Durchführung eines Einkom- mensvergleichs (bei Anhaltspunkten für eine Änderung in den erwerblichen Auswirkungen des Gesundheitszustandes) beruht (BGE 133 V 108 E. 5.3–4; 130 V 71 E. 3.2.3).</w:t>
      </w:r>
    </w:p>
    <w:p>
      <w:r>
        <w:t>Kantonsgericht KG Seite 5 von 7</w:t>
      </w:r>
    </w:p>
    <w:p>
      <w:r>
        <w:rPr>
          <w:b/>
        </w:rPr>
        <w:t>E. 3</w:t>
      </w:r>
    </w:p>
    <w:p>
      <w:r>
        <w:t>Vorliegend ist zu prüfen, ob die Beschwerdeführerin im Rahmen ihres Leistungsgesuchs vom 11. März 2019 glaubhaft machen konnte, dass sich ihr Gesundheitszustand seit der letzten mate- riell-rechtlichen Verfügung vom 23. September 2014 in einer erheblichen Weise verändert hat.</w:t>
      </w:r>
    </w:p>
    <w:p>
      <w:r>
        <w:rPr>
          <w:b/>
        </w:rPr>
        <w:t>E. 3.1</w:t>
      </w:r>
    </w:p>
    <w:p>
      <w:r>
        <w:t>Einleitend ist nochmals darauf hinzuweisen, dass im Bereich der Neuanmeldung der Unter- suchungsgrundsatz nicht greift. Da das Gericht der beschwerdeweisen Überprüfung eines Nicht- eintretensentscheids den Sachverhalt zu Grunde legt, wie er sich der Verwaltung bot (vgl. hierzu E. 2.2), kann dem Begehren der Beschwerdeführerin, es seien weitere medizinische Abklärungen zu tätigen, nicht stattgegeben werden.</w:t>
      </w:r>
    </w:p>
    <w:p>
      <w:r>
        <w:rPr>
          <w:b/>
        </w:rPr>
        <w:t>E. 3.2</w:t>
      </w:r>
    </w:p>
    <w:p>
      <w:r>
        <w:t>Die letzte materiell-rechtliche Verfügung vom 23. September 2014 (IV-Akten S. 100-103) stützte sich massgeblich auf einen Arztbericht auf offiziellem Formular vom 10. April 2014. Darin attestierte die Hausärztin, Dr. C.________, Fachärztin für Allgemeine Innere Medizin, der Beschwerdeführerin für die bisherige Tätigkeit wie auch für eine körperlich leichte, wech- selbelastende Verweistätigkeit eine volle Arbeitsfähigkeit ohne Leistungsminderung (IV-Akten S. 89 – 92).</w:t>
      </w:r>
    </w:p>
    <w:p>
      <w:r>
        <w:rPr>
          <w:b/>
        </w:rPr>
        <w:t>E. 3.3</w:t>
      </w:r>
    </w:p>
    <w:p>
      <w:r>
        <w:t>Das vorliegend zu beurteilende Leistungsgesuch vom 11. März 2019 begründet die Beschwerdeführerin damit, dass sie wegen ihrer Brustkrebserkrankung (2007), einer Knieoperation (Meniskus) und einer Armgelenksentzündung gesundheitlich beeinträchtigt sei (IV-Akten S. 134). Der von der Hausärztin am 8. Februar 2019 erstattete Bericht hält fest, dass der Beschwerdeführe- rin aufgrund diverser gesundheitlicher Probleme aktuell keine Vollzeitstelle zumutbar sei. Infolge des Belastungsprofils sei sie in der aktuellen Anstellung als Küchenhilfe (viele repetitive Bewegun- gen beim Putzen und teilweise Tragen/Versetzen von Gewichten) zu maximal 30 Prozent arbeits- fähig. Bei einer Steigerung dieses Pensums bestehe die Gefahr einer vollständigen Arbeitsunfä- higkeit. Zu einer allfälligen Verweistätigkeit präzisierte die Hausärztin, dass eine leichte Arbeit ohne repetitive Bewegungen der Arme/Schultern und ohne vermehrtes Tragen/Versetzen von Gewich- ten (z.B. im Betreuungsbereich von Kindern) im Umfang einer 50-prozentigen Anstellung durchaus möglich wäre und nach einer gewissen Einarbeitungszeit und in Abhängigkeit von den gesundheit- lichen Beschwerden eventuell auch noch weiter gesteigert werden könnte (IV-Akten S. 116). Im Bericht vom 6. Mai 2019 führte die Hausärztin weiter aus, dass die aktuelle Anstellung als Küchenhilfe zu einer progredienten Epicondylitis olecranii rechts (Tennisarm) geführt habe, welche mit Kortisoninfiltrationen nicht vollständig behandelt werden könne. Dazu kämen die fluktuierenden Beschwerden im Bereich der linken Schulter und des Rippenthorax beziehungsweise der Brustwir- belsäule. In Bezug auf eine mögliche Verweistätigkeit hielt sie fest: "Auch für andere Tätigkeiten, leichte Arbeit ohne repetitive Bewegungen der Arme/Schultern und ohne vermehrtes Tragen/Ver- setzen von Gewichten (z.B. im Betreuungsbereich von Kindern), ist aktuell infolge des Gesund- heitszustandes der Patientin maximal eine 50-prozentige Anstellung realistisch. Wir bitten das bei der Stellensuche zu berücksichtigen, da sonst die Gefahr der vollständigen Arbeitsunfähigkeit mit Abhängigkeit von den sozialen Institutionen besteht. Deshalb sollte der Patientin unbedingt bei der Wiedereingliederung bzw. zum Verbleib im Arbeitsleben geholfen werde" (IV-Akten S. 147-148).</w:t>
      </w:r>
    </w:p>
    <w:p>
      <w:r>
        <w:rPr>
          <w:b/>
        </w:rPr>
        <w:t>E. 3.4</w:t>
      </w:r>
    </w:p>
    <w:p>
      <w:r>
        <w:t>Gemäss der Einschätzung der RAD-Ärztin, Dr. D.________, Fachärztin für Physikalische Medizin und Rehabilitation, vom 20. Mai 2019 sind die Schulter- und Oberarmbeschwerden infolge der Brust- und Lymphknotenentfernung sowie die neu aufgetretene Epicondylitis olecranii rechts gut therapierbar. Die RAD-Ärztin betonte zudem, dass die Beschwerden in Zusammenhang mit</w:t>
      </w:r>
    </w:p>
    <w:p>
      <w:r>
        <w:t>Kantonsgericht KG Seite 6 von 7 dem Tennisarm nicht zu einer dauerhaften Arbeitsunfähigkeit führen würden. Sie schloss ihre Stellungnahme mit folgendem Fazit: "Mit den vorgelegten Berichten kann weder eine Verschlech- terung des Gesundheitszustandes begründet noch glaubhaft gemacht werden. Eine wie damals definierte leichte abwechselnde Tätigkeit ohne ständiger Überkopfarbeit links ist weiterhin ganz- tags zumutbar" (IV-Akten S. 149-151).</w:t>
      </w:r>
    </w:p>
    <w:p>
      <w:r>
        <w:rPr>
          <w:b/>
        </w:rPr>
        <w:t>E. 4</w:t>
      </w:r>
    </w:p>
    <w:p>
      <w:r>
        <w:t>Die erwähnten medizinischen Einschätzungen zum aktuellen Gesundheitszustand der Beschwer- deführerin würdigt das Gericht wie folgt:</w:t>
      </w:r>
    </w:p>
    <w:p>
      <w:r>
        <w:rPr>
          <w:b/>
        </w:rPr>
        <w:t>E. 4.1</w:t>
      </w:r>
    </w:p>
    <w:p>
      <w:r>
        <w:t>In Bezug auf die Brustkrebserkrankung ist festzuhalten, dass diese bereits anlässlich der letzten Verfügung bekannt war und bereits damals gewürdigt wurde. Gleiches gilt im Hinblick auf die Schulter- und Oberarmbeschwerden infolge der Brust- und Lymphknotenentfernung. In ihrem Arztbericht vom 10. April 2014 attestierte die Hausärztin der Beschwerdeführerin in ihrer bisheri- gen Tätigkeit wie auch in einer körperlich leichten, wechselbelastenden Verweistätigkeit eine volle Arbeitsfähigkeit ohne Leistungsminderung. Weshalb sie von ihrer damaligen Beurteilung abweicht und in ihren Berichten vom 8. Februar 2019 und 6. Mai 2019 nunmehr die Meinung vertritt, die Beschwerdeführerin sei selbst in einer körperlich leichten Tätigkeit ohne repetitive Bewegungen der Arme/Schultern und ohne vermehrtes Tragen/Versetzen von Gewichten höchstens zu 50 Prozent arbeitsunfähig (wobei sie im erstgenannten Bericht noch davon ausging, dieses Arbeitspensum könne allenfalls noch gesteigert werden), ist nicht nachvollziehbar. Dies nicht zuletzt auch deshalb, weil die Hausärztin nicht darlegt, inwiefern sich der Gesundheitszustand der Beschwerdeführerin in Bezug auf die Brustkrebserkrankung und deren Folgen seit der letzten rentenablehnenden Verfügung vom 23. September 2014 verschlechtert hat. Kommt hinzu, dass die RAD-Ärztin, welche als Fachärztin in physikalischer Medizin und Rehabilitation über spezifi- sches Fachwissen verfügt, glaubhaft begründet darlegt, dass diese Beschwerden mit entsprechen- den Physiotherapien und physikalischen Therapien gut behandelbar seien. Was die neue Diagnose einer progredienten Epicondylitis olecranii rechts (Tennisarm) anbelangt, so ist unklar, seit wann diese Beschwerden bestehen. Zwar führt die Hausärztin aus, diese seien infolge ihrer aktuellen Tätigkeit, welche die Beschwerdeführerin seit Oktober 2018 in einem Pensum ausübt, aufgetreten. Genaue Angaben zum Beginn der Beschwerden lassen sich den Arztberichten aber nicht entnehmen. Kommt hinzu, dass gemäss der RAD-Ärztin auch diese Erkrankung gut therapierbar ist und daher keine langfristige Arbeitsunfähigkeit nach sich zieht. Abschliessend ist anzumerken, dass die von der Beschwerdeführerin im Leistungsgesuch aufge- führten Kniebeschwerden (Meniskus) von der Hausärztin nicht erwähnt werden, weshalb die Beschwerdeführerin auch diesbezüglich keine Verschlechterung des Gesundheitszustandes glaubhaft macht.</w:t>
      </w:r>
    </w:p>
    <w:p>
      <w:r>
        <w:rPr>
          <w:b/>
        </w:rPr>
        <w:t>E. 4.2</w:t>
      </w:r>
    </w:p>
    <w:p>
      <w:r>
        <w:t>Gesamthaft betrachtet vermögen die zu den Akten gereichten Arztberichte der Hausärztin vom 8. Februar 2019 und 6. Mai 2019 nicht glaubhaft darzulegen, dass sich der Gesundheitszu- stand der Beschwerdeführerin in einer für den Anspruch erheblichen Weise verändert hat, weshalb nicht zu beanstanden ist, dass die Vorinstanz auf die Neuanmeldung vom 11. März 2019 nicht eingetreten ist. Die Beschwerde ist somit abzuweisen.</w:t>
      </w:r>
    </w:p>
    <w:p>
      <w:r>
        <w:t>Kantonsgericht KG Seite 7 von 7</w:t>
      </w:r>
    </w:p>
    <w:p>
      <w:r>
        <w:rPr>
          <w:b/>
        </w:rPr>
        <w:t>E. 5</w:t>
      </w:r>
    </w:p>
    <w:p>
      <w:r>
        <w:t>Das Verfahren ist kostenpflichtig (Art. 69 Abs. 1bis IVG). Die Verfahrenskosten von CHF 400.- sind entsprechend dem Ausgang des Verfahrens der unter- liegenden Beschwerdeführerin aufzuerlegen und mit dem von ihr geleisteten Kostenvorschuss in gleicher Höhe zu verrechnen. Der Hof erkennt: I. Die Beschwerde wird abgewiesen. II. Die Verfahrenskosten von CHF 400.- gehen zulasten von A.________ und werden mit dem von ihr geleisteten Kostenvorschuss in gleicher Höhe verrechnet. III.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2. September 2019/asp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