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151 vom 11. Dezember 2019</w:t>
      </w:r>
    </w:p>
    <w:p>
      <w:r>
        <w:t>FR Kantonsgericht, 2019-12-11, FR</w:t>
      </w:r>
    </w:p>
    <w:p>
      <w:r>
        <w:rPr>
          <w:b/>
        </w:rPr>
        <w:t xml:space="preserve">Quelle: </w:t>
      </w:r>
      <w:r>
        <w:t>https://mcp.opencaselaw.ch/entscheid/fr_gerichte_608_2019_151</w:t>
      </w:r>
    </w:p>
    <w:p>
      <w:r>
        <w:t>FR: FR_GERICHTE 608 2019 151 du 11 décembre 2019</w:t>
      </w:r>
    </w:p>
    <w:p>
      <w:r>
        <w:t>IT: FR_GERICHTE 608 2019 151 del 11 dicembre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Aux termes de l’art. 8 LPGA, est réputée invalidité l’incapacité de gain totale ou partielle qui est présumée permanente ou de longue durée.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Pour évaluer le degré d'invalidité, il existe principalement trois méthodes: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(ATF 137 V 334 et les références citées).</w:t>
      </w:r>
    </w:p>
    <w:p>
      <w:r>
        <w:rPr>
          <w:b/>
        </w:rPr>
        <w:t>E. 2.2.1</w:t>
      </w:r>
    </w:p>
    <w:p>
      <w:r>
        <w:t>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générale de comparaison des</w:t>
      </w:r>
    </w:p>
    <w:p>
      <w:r>
        <w:t>Tribunal cantonal TC Page 4 de 9 revenus (art. 28a al. 1 LAI en corrélation avec l'art. 16 LPGA) et ses sous-variantes, la méthode de comparaison en pour-cent (ATF 114 V 310 consid. 3a) et la méthode extraordinaire de comparaison des revenus (ATF 128 V 29; voir également arrêt TF 9C_236/2009 du 7 octobre 2009 consid. 3 et 4).</w:t>
      </w:r>
    </w:p>
    <w:p>
      <w:r>
        <w:rPr>
          <w:b/>
        </w:rPr>
        <w:t>E. 2.2.2</w:t>
      </w:r>
    </w:p>
    <w:p>
      <w:r>
        <w:t>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 invalidité [RAI; RS 831.201]). Par travaux habituels, il faut notamment entendre l'activité usuelle dans le ménage, l'éducation des enfants ainsi que toute activité artistique ou d'utilité publique (cf. art. 27 RAI).</w:t>
      </w:r>
    </w:p>
    <w:p>
      <w:r>
        <w:rPr>
          <w:b/>
        </w:rPr>
        <w:t>E. 2.2.3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 ATF 131 V 51 consid. 5.1.2). Cette méthode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RAI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2.2.4</w:t>
      </w:r>
    </w:p>
    <w:p>
      <w:r>
        <w:t>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Cette enquête effectuée au domicile de la personne assurée constitue en règle générale une base appropriée et suffisante pour évaluer les empêchements dans l'accomplissement des travaux habituels. En ce qui</w:t>
      </w:r>
    </w:p>
    <w:p>
      <w:r>
        <w:t>Tribunal cantonal TC Page 5 de 9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w:t>
      </w:r>
    </w:p>
    <w:p>
      <w:r>
        <w:rPr>
          <w:b/>
        </w:rPr>
        <w:t>E. 2.2.5</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133 V 504 consid. 3.3; 131 V 51 consid. 5.1.2 et 125 V 146 consid. 5c/bb; arrêts TF 9C_49/2008 du 28 juillet 2008 consid. 3.1-3.4 et TFA I 156/04 du 13 décembre 2005 consid. 5.1.2).</w:t>
      </w:r>
    </w:p>
    <w:p>
      <w:r>
        <w:rPr>
          <w:b/>
        </w:rPr>
        <w:t>E. 2.3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130 III 321 consid. 3.2 et 3.3; arrêt TF 8C_704/2007 du 9 avril 2008 consid. 2). Aussi n'existe-t-il pas, en droit des assurances sociales, un principe selon lequel l'administration ou le juge devrait statuer, dans le doute, en faveur de l'assuré (ATF 126 V 319 consid. 5a).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3</w:t>
      </w:r>
    </w:p>
    <w:p>
      <w:r>
        <w:t>En l'espèce, le litige porte principalement sur le choix de la méthode d'évaluation de l'invalidité ainsi que, subsidiairement, sur l'évaluation de la capacité de l'assurée dans ses tâches</w:t>
      </w:r>
    </w:p>
    <w:p>
      <w:r>
        <w:t>Tribunal cantonal TC Page 6 de 9 ménagères. En revanche, la capacité de travail dans l'activité lucrative n'est pas contestée par les parties.</w:t>
      </w:r>
    </w:p>
    <w:p>
      <w:r>
        <w:rPr>
          <w:b/>
        </w:rPr>
        <w:t>E. 3.1</w:t>
      </w:r>
    </w:p>
    <w:p>
      <w:r>
        <w:t>S'agissant de la méthode d'évaluation, il convient tout d'abord de déterminer quelle activité celle-ci aurait déployé si elle n'avait pas été atteinte dans sa santé (cf. supra consid. 2.2.5). L'OAI a appliqué la méthode mixte en considérant que l'assurée aurait travaillé à 50% et aurait consacré le 50% restant à son ménage. Il s'est fondé sur les déclarations faites par celle-ci lors de l'enquête ménagère à domicile, en décembre 2018. L'enquêteur y signalait ce qui suit: "Sans atteinte à la santé, A.________ indique qu'elle chercherait dans l'idéal à exercer une activité professionnelle au taux de 50% pour des raisons financières et par choix personnel" (dossier OAI, p. 565). Dans son recours, la recourante revient sur cette version et allègue qu'elle aurait travaillé à plein temps sans atteinte à la santé. Rappelant avoir toujours fait preuve de sa volonté de travailler, en fonction de ses possibilités, il est d'après elle évident qu'elle aurait repris une activité à plein temps, dès lors que sa cadette est aujourd'hui âgée de 12 ans. Elle se réfère en outre à ses déclarations lors des deux premières enquêtes ménagères et relativise celles faites lors de la troisième, invoquant que, lorsqu'elle s'est exprimée en décembre 2018, elle faisait référence à sa situation actuelle, avec handicap.</w:t>
      </w:r>
    </w:p>
    <w:p>
      <w:r>
        <w:rPr>
          <w:b/>
        </w:rPr>
        <w:t>E. 3.2</w:t>
      </w:r>
    </w:p>
    <w:p>
      <w:r>
        <w:t>Amenée à statuer, la Cour de céans concède que le fait pour la recourante d'avoir modifié ses dires postérieurement au prononcé de la décision litigieuse doit, a priori, lui être opposé, en application de la jurisprudence relative aux premières déclarations (cf. supra consid. 2.3). Cela étant, il convient d'analyser la situation en la replaçant dans un contexte plus large. Cela implique tout d'abord de faire mention des déclarations de l'assurée figurant dans des documents plus anciens. Ainsi, dans le questionnaire destiné à l'intention des personnes s'occupant du ménage, complété en avril 2015, celle-ci déclarait que, sans atteinte à la santé, elle aurait exercé l'"activité professionnelle actuelle à 100% (nettoyage)", relevant au passage qu'elle exerçait alors déjà cette activité à temps partiel (dossier OAI, p. 316). Elle s'était exprimée dans le même sens au cours d'une précédente procédure de révision: tant lors de l'enquête économique sur le ménage de décembre 2012 (dossier OAI, p. 220) que dans un questionnaire pour la révision de la rente d'invalidité d'août 2012 (dossier OAI, p. 173), elle confirmait qu'elle aurait désiré travailler à plein temps si elle avait été en bonne santé. Ces déclarations avaient été faites alors même que ses enfants étaient encore jeunes, en particulier la cadette (5 ans en 2012). Dès lors, le fait pour elle d'annoncer, à la fin 2018 et alors que sa cadette est désormais âgée de 11 ans, qu'elle aurait travaillé à 50% seulement, "pour des raisons financières et par choix personnel", laisse pour le moins perplexe. En général, le taux d'activité a en effet tendance à augmenter à mesure que les enfants grandissent et gagnent en indépendance. Cela étant, une lecture attentive de l'enquête ménagère ici décisive (dossier OAI, p. 561) fait ressortir deux éléments. Tout d'abord, l'assurée y explique qu'elle aurait travaillé à 50% en signalant "qu'elle appréciait beaucoup son travail en tant qu'employée ménage auprès de C.________ et qu'elle aurait bien souhaité travailler à mi-temps mais que seul un taux d'activité de 38% a pu lui être proposé lorsqu'elle a recommencé à travaillé en 2010". Or, ce faisant, elle se réfère clairement à l'activité lucrative qu'elle exerce comme invalide, ce qui jette un doute sur la question de savoir si elle a bien saisi le sens de la question qui lui était posée. On pourrait certes objecter qu'elle a déjà été amenée à répondre à cette question lors de la précédente procédure de révision, en 2012. Il</w:t>
      </w:r>
    </w:p>
    <w:p>
      <w:r>
        <w:t>Tribunal cantonal TC Page 7 de 9 s'impose néanmoins de rappeler le profil psychologique fragile de l'assurée, avec notamment un retard mental léger, susceptible d'interférer avec une bonne compréhension de la question litigieuse et ses conséquences; on renvoie à cet égard au rapport d'examen psychologique réalisé en septembre 2004 (dossier OAI, p. 97), dont la valeur a été confirmée par la Dresse E.________ dans son expertise du 1er octobre 2018 (dossier OAI, p. 552). La prudence est d'autant plus de mise au regard de ses déclarations lors des précédentes enquêtes, au cours desquelles elle évoquait l'exercice d'une activité à plein temps. Ensuite, l'enquêteur relève que, "au vu de son parcours professionnel et de la situation familiale et financière, il est tout à fait plausible que, sans atteinte à la santé, A.________ chercherait à exercer une activité au taux de 50%. Par contre, il serait difficile d'admettre qu'elle travaillerait sans autre à un taux d'activité supérieur étant donné que même avant l'atteinte à la santé, A.________ n'a jamais travaillé à un taux supérieur à 42%". Or, un bref examen du contexte démontre, d'une part, que la situation financière de la famille est relativement précaire, puisque l'époux de l'assurée est au bénéfice d'une rente entière d'invalidité de longue date et perçoit de ce fait un peu moins de CHF 4’000.- par mois, répartis entre la rente AI pour lui-même et pour ses enfants, ainsi qu'une rente LPP (dossier OAI, p. 318). Il n'est de loin pas improbable que la recourante eût recherché un emploi à plein temps si elle n'en avait pas été empêchée pour des motifs médicaux. D'autant que l'expertise fait mention du fait qu'une bonne partie des difficultés rencontrées par celle-ci trouvent leur origine dans le contexte familial et confortent le rôle de "soupape" qu'aurait joué une activité lucrative à l'extérieur du domicile (dossier OAI, p. 554). En outre, comme mentionné plus haut, sa présence continue auprès de ses enfants, âgés de 11, 16 et 19 ans, n'est plus indispensable constamment, ce d'autant que son époux est en principe présent à domicile. D'autre part, l'invocation, par l'enquêteur, du fait que l'assurée n'a jamais travaillé à plein temps avant l'atteinte à la santé doit être relativisée: on constate en effet que la capacité de travail de cette dernière était, de manière très vraisemblable, déjà perturbée avant même qu'elle ne dépose sa première demande de prestations AI. Il ressort du dossier médical, et notamment de l'expertise réalisée en octobre 2004 par le Dr D.________, spécialiste en psychiatrie et psychothérapie, que la plupart des diagnostics (soit ceux de personnalité émotionnellement labile de type borderline, de trouble dépressif récurrent et d'efficience intellectuelle limite) étaient considérés comme présents depuis l'enfance. L'expert attestait d'ailleurs d'une probable incapacité de travail de l'ordre de 40% dès l'été 1999, augmentant ensuite progressivement pour devenir totale en mars 2004 (dossier OAI, p. 95). De l'avis de la Cour, ces éléments sont suffisamment établis pour admettre que la capacité de travail de la recourante est réduite de longue date; en outre, l'argument de l'absence d'une activité préalable à plein temps n'est en soi aucunement déterminant, surtout chez une assurée qui a accouché de son aîné alors qu'elle n'avait que 19 ans. Ainsi, tout bien considéré, la Cour de céans acquiert la conviction que, compte tenu du contexte particulier prévalant ici lorsque la décision litigieuse a été rendue, il est possible d'admettre l'hypothèse selon laquelle la recourante aurait travaillé à plein temps si elle n'avait pas été atteinte à la santé. Il est utile de préciser qu'il y a lieu de déterminer avec grande circonspection la volonté hypothétique dans des cas aussi délicats que la présente espèce, dans lesquels la/les atteinte/s à la santé sont présentes de très longue date et où il est donc difficile d'évaluer quelle aurait été (l'évolution de) la situation de l'assurée si elle avait été en bonne santé. Cela est d'autant plus ardu lorsque l'état de santé, comme en l'occurrence, est étroitement lié au contexte psychosocial (enfance difficile, difficultés conjugales, par exemple) et que ces paramètres s'influencent</w:t>
      </w:r>
    </w:p>
    <w:p>
      <w:r>
        <w:t>Tribunal cantonal TC Page 8 de 9 mutuellement. En pareils cas, l'enquêteur doit faire preuve d'une attention toute particulière afin de s'assurer que la personne soumise à l'enquête a bien compris le sens de la question portant sur le taux de son activité lucrative, si elle avait été en bonne santé. Sur le vu de tout ce qui précède, il convient de recourir à la méthode ordinaire de comparaison des revenus pour évaluer l'invalidité de la recourante. De ce fait, on peut renoncer à se pencher sur les griefs portant sur l'enquête ménagère.</w:t>
      </w:r>
    </w:p>
    <w:p>
      <w:r>
        <w:rPr>
          <w:b/>
        </w:rPr>
        <w:t>E. 4.1</w:t>
      </w:r>
    </w:p>
    <w:p>
      <w:r>
        <w:t>Dans le cadre de l'évaluation relative à la partie lucrative, l'OAI a entériné l'existence d'une incapacité de travail totale dans toute activité professionnelle. En l'absence de motifs justifiant de s'écarter de ce mode de calcul, la Cour retient dès lors que, rapporté à un taux d'activité de 100% (au lieu de 50% dans la décision querellée), le degré d'invalidité est de 100% et ouvre le droit à une rente entière. Dans la mesure où la recourante était déjà au bénéfice d'une rente, il sied de se référer aux dispositions relatives à la révision pour déterminer à quel moment celle-ci se modifie.</w:t>
      </w:r>
    </w:p>
    <w:p>
      <w:r>
        <w:rPr>
          <w:b/>
        </w:rPr>
        <w:t>E. 4.2</w:t>
      </w:r>
    </w:p>
    <w:p>
      <w:r>
        <w:t>Selon l'art. 17 LPGA, si le taux d'invalidité du bénéficiaire de la rente subit une modification notable, la rente est, d'office ou sur demande, révisée pour l'avenir, à savoir augmentée ou réduite en conséquence, ou encore supprimée. En vertu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rPr>
          <w:b/>
        </w:rPr>
        <w:t>E. 4.3</w:t>
      </w:r>
    </w:p>
    <w:p>
      <w:r>
        <w:t>En l'occurrence, l'expertise réalisée par la Dresse E.________ - dont la valeur probante n'est pas remise en cause par les parties et qui emporte largement la conviction de la Cour - atteste d'une capacité de travail fluctuante depuis plusieurs années, avant de devenir totale "depuis au moins début 2018 d'un point de vue psychiatrique". A l'aune de l'art. 88a al. 2 RAI, on peut légitimement considérer que l'aggravation ici déterminante est intervenue, de manière certaine, en janvier 2018, de sorte que la recourante a droit à une rente entière d'invalidité à partir du 1er avril 2018.</w:t>
      </w:r>
    </w:p>
    <w:p>
      <w:r>
        <w:rPr>
          <w:b/>
        </w:rPr>
        <w:t>E. 5</w:t>
      </w:r>
    </w:p>
    <w:p>
      <w:r>
        <w:t>Au vu de ce qui précède, le recours (608 2019 151) est admis et la décision attaquée modifiée dans le sens que la recourante a droit à une rente entière d'invalidité dès le 1er avril 2018. La procédure n'étant pas gratuite, les frais de justice, ici fixés à CHF 800.-, sont mis à la charge de l'autorité intimée, qui succombe. Compte tenu de l'issue du litige, la requête d'assistance judiciaire gratuite totale (608 2019 154) devient sans objet et peut être rayée du rôle. Obtenant gain de cause, la recourante a droit à des dépens (art. 61 let. g LPGA). L'indemnité de partie est fixée conformément aux art. 137 ss du code fribourgeois du 23 mai 1991 de procédure et de juridiction administrative (CPJA; RSF 150.1) et aux art. 8 ss du tarif cantonal du 17 décembre 1991 des frais de procédure et des indemnités en matière de juridiction administrative (Tarif/JA; RSF 150.12). Sur la base de la liste de frais produite le 5 décembre 2019 par sa mandataire, il se</w:t>
      </w:r>
    </w:p>
    <w:p>
      <w:r>
        <w:t>Tribunal cantonal TC Page 9 de 9 justifie de fixer l'équitable indemnité à laquelle elle a droit à CHF 4'291.65, à raison de 17.16 h à CHF 250.-, plus CHF 150.- au titre de débours (la Cour rappelant à cet égard que la fixation à forfait des débours à raison de 5 %, valable en matière civile, ne correspond pas aux exigences du Tarif/JA qui fixe leur rémunération à prix coûtant, cf. art. 9 Tarif/JA), plus CHF 342.- au titre de la TVA à 7,7%, soit un total de CHF 4'783.65. Cette indemnité est mise intégralement à la charge de l'OAI. la Cour arrête : I. Le recours (608 2019 151) est admis. Partant, la décision de l’Office de l’assurance-invalidité du canton de Fribourg du 9 avril 2019 est modifiée en ce sens que la recourante a droit à une rente entière d'invalidité dès le 1er avril 2018. II. La requête d'assistance judiciaire gratuite totale (608 2019 154), devenue sans objet, est rayée du rôle. III. Les frais de procédure, par CHF 800.-, sont mis à la charge de l'Office de l'assurance- invalidité du canton de Fribourg. IV. L'indemnité de partie allouée à la recourante pour ses frais de défense est fixée à CHF 4'291.65, plus CHF 150.- de débours, plus CHF 342.- au titre de la TVA à 7.7%, soit à un total de CHF 4'783.65. Elle est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décembre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