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84 vom 21. August 2018</w:t>
      </w:r>
    </w:p>
    <w:p>
      <w:r>
        <w:t>FR Kantonsgericht, 2018-08-21, FR</w:t>
      </w:r>
    </w:p>
    <w:p>
      <w:r>
        <w:rPr>
          <w:b/>
        </w:rPr>
        <w:t xml:space="preserve">Quelle: </w:t>
      </w:r>
      <w:r>
        <w:t>https://mcp.opencaselaw.ch/entscheid/fr_gerichte_608_2018_84</w:t>
      </w:r>
    </w:p>
    <w:p>
      <w:r>
        <w:t>FR: FR_GERICHTE 608 2018 84 du 21 août 2018</w:t>
      </w:r>
    </w:p>
    <w:p>
      <w:r>
        <w:t>IT: FR_GERICHTE 608 2018 84 del 21 agosto 2018</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modifiée.</w:t>
      </w:r>
    </w:p>
    <w:p>
      <w:r>
        <w:rPr>
          <w:b/>
        </w:rPr>
        <w:t>E. 2.1</w:t>
      </w:r>
    </w:p>
    <w:p>
      <w:r>
        <w:t>A teneur de l’art. 8 al. 1 de la loi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2.3</w:t>
      </w:r>
    </w:p>
    <w:p>
      <w:r>
        <w:t>L'évaluation du taux d'invalidité se fait sur la base de quatre méthodes dont l'application dépend du statut du bénéficiaire potentiel de la rente, la méthode ordinaire, la méthode spécifique, la méthode mixte et la méthode extraordinaire.</w:t>
      </w:r>
    </w:p>
    <w:p>
      <w:r>
        <w:rPr>
          <w:b/>
        </w:rPr>
        <w:t>E. 2.3.1</w:t>
      </w:r>
    </w:p>
    <w:p>
      <w:r>
        <w:t>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Si un assuré, en mesure sur le plan de la santé d'exercer une activité lucrative à plein temps, décide de son propre gré de réduire son horaire de travail pour s'accorder plus de loisirs ou pour</w:t>
      </w:r>
    </w:p>
    <w:p>
      <w:r>
        <w:t>Tribunal cantonal TC Page 4 de 10 poursuivre sa formation (ou son perfectionnement professionnel) ou si le marché du travail ne lui permet pas d'avoir une activité à plein temps, l'assurance-invalidité n'a pas à intervenir (ATF 131 V 51 consid. 5.1.2 et les références). C'est pourquoi par revenu que l'assuré aurait pu obtenir s'il n'était pas invalide au sens de l'art. 16 LPGA, il faut entendre le gain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146 consid. 5c/bb et les références);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(cf. arrêt TF I 12/90 du 15 octobre 1991 consid. 4a, in RCC 1992 p. 94; voir également arrêt TF B 80/01 du 17 octobre 2003 consid. 5.2.2). Il y a alors lieu en principe de se rapporter aux données statistiques résultant de l'Enquête suisse sur la structure des salaires (ESS) éditée par l'Office fédéral de la statistique (cf. arrêt TF I 377/98 du 28 juillet 1999 consid. 3b, in VSI 1999 p. 246).</w:t>
      </w:r>
    </w:p>
    <w:p>
      <w:r>
        <w:rPr>
          <w:b/>
        </w:rPr>
        <w:t>E. 2.3.2</w:t>
      </w:r>
    </w:p>
    <w:p>
      <w:r>
        <w:t>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w:t>
      </w:r>
    </w:p>
    <w:p>
      <w:r>
        <w:rPr>
          <w:b/>
        </w:rPr>
        <w:t>E. 2.3.3</w:t>
      </w:r>
    </w:p>
    <w:p>
      <w:r>
        <w:t>La méthode mixte d'évaluation du taux d'invalidité a été souvent remise en cause, y compris devant la Cour Européenne des Droits de l'Homme (CourEDH). Dans son jugement du 2 février 2016, celle-ci a considéré que, dans le cas précis d'une mère de jumeaux, l'usage de la méthode mixte représentait une violation du droit au respect de la vie privée et familiale (art. 8 CEDH) combiné avec l’art. 14 CEDH interdiction de discrimination (arrêt CourEDH n° 7186/09 Di Trizio c. Suisse du 2 février 2016). Selon le Tribunal fédéral cependant, en dehors de la constellation décrite dans l'arrêt de la CourEDH, la méthode mixte continue à s'appliquer (cf. arrêt TF 9F_8/2016 du 20 décembre 2016 consid. 4.4).</w:t>
      </w:r>
    </w:p>
    <w:p>
      <w:r>
        <w:t>Tribunal cantonal TC Page 5 de 10 Suite à cet arrêt, le Conseil fédéral a modifié l'art. 27bis al. 2 à 4 du règlement du 17 janvier 1961 sur l'assurance-invalidité (RAI; RS 831.201), entré en vigueur le 1er janvier 2018. Cet article, applicable au cas d'espèce, la décision étant postérieure à son entrée en vigueur (cf. Dispositions transitoires de la modification du 1er décembre 2017),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Cela étant, l'invalidité ne peut être évaluée selon la nouvelle méthode mixte qu'à partir de la date d'entrée en vigueur de l'art. 27bis al. 2 à 4 RAI, soit le 1er janvier 2018 (arrêts TF 8C_462/2017 du 30 janvier 2018 consid. 5.3; 9C_553/2017 du 18 décembre 2017 consid. 5 et 6.2).</w:t>
      </w:r>
    </w:p>
    <w:p>
      <w:r>
        <w:rPr>
          <w:b/>
        </w:rPr>
        <w:t>E. 3</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rPr>
          <w:b/>
        </w:rPr>
        <w:t>E. 3.1</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Par ailleurs, l'on ne saurait remettre en cause une expertise ordonnée par l'administration ou un juge et procéder à de nouvelles investigations du</w:t>
      </w:r>
    </w:p>
    <w:p>
      <w:r>
        <w:t>Tribunal cantonal TC Page 6 de 10 seul fait qu'un ou plusieurs médecins traitants ont une opinion contradictoire (arrêt TF 9C_201/2007 du 29 janvier 2008).</w:t>
      </w:r>
    </w:p>
    <w:p>
      <w:r>
        <w:rPr>
          <w:b/>
        </w:rPr>
        <w:t>E. 3.2</w:t>
      </w:r>
    </w:p>
    <w:p>
      <w:r>
        <w:t>L'art. 69 al. 2 RAI prévoit, comme mesure d'instruction, la possibilité pour l'autorité de réaliser une visite domiciliaire. Telle est la possibilité, notamment, lorsqu'il s'agit d'assurés qui s'occupent du ménage (cf. Circulaire de l'OFAS sur l’invalidité et l’impotence dans l’assurance- invalidité, ci-après: CIIAI, ch. 1058).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TF 9C_687/2014 du 30 mars 2015 consid. 4.3.1; 8C_671/2007 du 13 juin 2008 consid. 3.2.1; I 311/03 du 22 décembre 2003 consid. 5.3 in VSI 2004 p. 139 s.). Une telle priorité de principe est justifiée par le fait qu'il est souvent difficile pour la personne chargée de l'enquête à domicile de reconnaître et d'apprécier l'ampleur de l'atteinte psychique et les empêchements en résultant (arrêt TF 9C_108/2009 du 29 octobre 2009 consid. 4.1).</w:t>
      </w:r>
    </w:p>
    <w:p>
      <w:r>
        <w:rPr>
          <w:b/>
        </w:rPr>
        <w:t>E. 4</w:t>
      </w:r>
    </w:p>
    <w:p>
      <w:r>
        <w:t>En l'espèce, la recourante ne remet pas en cause le choix de la méthode mixte ni ne conteste la répartition entre activité lucrative (60%) et tâches ménagères (40%). L'existence d'une incapacité de travail totale dans l'ensemble des activités lucratives n'est, également, pas litigieuse. Ces problématiques n'apparaissent, au demeurant, pas devoir faire l'objet de critiques. On relève notamment que l'évaluation de la capacité de travail s'est faite sur la base d'une expertise du Dr D.________ laquelle remplit les critères pour lui reconnaître une pleine valeur probante et est, au demeurant, conforme à l'ensemble des avis médicaux présents au dossier (à l'exception notable de l'avis de la clinique C.________, lequel ne saurait convaincre et n'a pas été suivi par l'autorité intimée; cf. arrêts TF 2C_32/2017 du 22 décembre 2017; 8C_657/2018 du 14 mai 2018 consid. 5.2.2).</w:t>
      </w:r>
    </w:p>
    <w:p>
      <w:r>
        <w:rPr>
          <w:b/>
        </w:rPr>
        <w:t>E. 5</w:t>
      </w:r>
    </w:p>
    <w:p>
      <w:r>
        <w:t>Est uniquement litigieuse, l'évaluation de la capacité de travail de la recourante dans la partie dite "ménagère", prise en compte pour 40%.</w:t>
      </w:r>
    </w:p>
    <w:p>
      <w:r>
        <w:rPr>
          <w:b/>
        </w:rPr>
        <w:t>E. 5.1</w:t>
      </w:r>
    </w:p>
    <w:p>
      <w:r>
        <w:t>Dans sa décision, l'OAI retient un degré d'invalidité de 11.81% dans l'activité ménagère. Ce degré d'invalidité correspond au cumul pondéré des empêchements retenus dans les rubriques "conduite du ménage" (22% d'empêchements pondérés à 4%), "alimentation" (15% d'empêchements pondérés à 41%), "entretien du logement" (14% d'empêchements pondérés à 18%), "emplettes et courses diverses" (1% d'empêchements pondérés à 10%) et "divers" (18% d'empêchements pondérés à 12%). Aucun empêchement n'a été retenu dans la rubrique "lessive et entretien des vêtements" (pondérée à 9%) et celle "soins aux enfants" n'est pas prise en compte.</w:t>
      </w:r>
    </w:p>
    <w:p>
      <w:r>
        <w:t>Tribunal cantonal TC Page 7 de 10 L'évaluation est fondée sur les conclusions de l'enquête domiciliaire du 31 mai 2016. A cette occasion, l'enquêtrice relève des limitations mais, également le fait que l'assurée possède des ressources qu'elle peut mettre en pratique, mettant en place des stratégies pour effectuer certaines tâches (notamment dans le poste lessive). L'enquêtrice souligne ainsi que, "dans un cadre rassurant et familier, l’assurée parvient à mobiliser plus de ressource" mais que, "en situation de stress, elle présente plus de limitations" (dossier cause, pièce 10).</w:t>
      </w:r>
    </w:p>
    <w:p>
      <w:r>
        <w:rPr>
          <w:b/>
        </w:rPr>
        <w:t>E. 5.2</w:t>
      </w:r>
    </w:p>
    <w:p>
      <w:r>
        <w:t>Les conclusions de cette enquête sont fermement contestées par la recourante. Se référant à l'expertise du Dr D.________, elle soutient que, si "elle présente des épisodes durant lesquels elle parvient à fonctionner plus ou moins correctement", en dehors de ces épisodes, son comportement "est toutefois gravement perturbé" et elle se désorganise facilement, "le moindre changement étant susceptible de la précipiter vers des épisodes de décompensation sévères. Le fait [qu'elle] fonctionne au quotidien de façon quasi correcte durant certaines périodes explique pourquoi les graves troubles psychotiques dont elle souffre ainsi que leur impact ont très largement échappé à la collaboratrice de l'Office AI en charge de l'enquête sur le ménage. Etant donné [qu'elle] est totalement anosognique" – soit le fait qu'un patient atteint d'une maladie ou d'un handicap ne semble pas avoir conscience de sa condition – "et qu'elle donne parfois l'impression d'être adéquate – ce qui était le cas le jour de l'enquête à domicile – il était très difficile, voire même impossible à la personne chargée de l'enquête à domicile [,] de recueillir des informations fiables de [sa part] au sujet de sa capacité à accomplir elle-même ses tâches domestiques". Force est de constater que les avis médicaux au dossier vont dans le droit sens des affirmations de la recourante. Ainsi, le Dr D.________ précise que, "à l'heure actuelle, nous retenons que l'assurée n'est plus à même de se gérer personnellement, ni d'assumer ses obligations envers tout un chacun. [Elle] a dû déléguer une partie des tâches administratives à des tiers. Le seul fils que l'assurée a brièvement assumé a dû à nouveau être placé en institution, l'assurée étant incapable de faire face à son rôle de mère. Tous les gestes et interactions du quotidien sont gravement perturbés, comme celles avec la famille" (dossier OAI, p. 322). De même, la Dresse E.________, spécialiste en psychiatrie et psychothérapie, du SMR, précisait que "la personnalité limite est caractérisée par une instabilité sur le plan émotionnel, comportemental et au niveau de la pensée. Il y a des épisodes de décompensation (comme c'est le cas lors de l'expertise: représentation de la réalité par [l']assurée comme faussée entrain[ant] une rupture avec [l]es autres; perte d'un système de réalité commun). Entre des épisodes de décompensation, en rémission, la personne fonction[ne] bien dans la vie quotidienne, lorsque certaines conditions sont présentes. Notamment un cadre bien structuré organisé avec des règles, les tâches bien défini[es], répétitives et régulièrement contrôl[ées] […] Selon les constats du Service externe, [l']assurée fonctionne bien chez elle, cependant [le] moindre changement peut la précipiter vers des épisodes de décompensations" (rapport du 15 mai 2017, dossier OAI, p. 465). Pour sa part, le Dr F.________, spécialiste en psychiatrie et psychothérapie, affirme que sa patiente "n'est plus à même de se gérer personnellement ni d'assumer ses obligations envers tout un chacun" même s'il admet ne pas être "bien placé pour juger de l'aptitude aux travaux ménagers, ne disposant pas d'observations concrètes". Il estime ainsi que "les taux retenus par l'enquêtrice n'ont pas assez tenu compte de la dimension psychiatrique du handicap de [sa] patiente. A [son] avis, une invalid[ité] à 50% dans le domaine ménager serait sans doute plus</w:t>
      </w:r>
    </w:p>
    <w:p>
      <w:r>
        <w:t>Tribunal cantonal TC Page 8 de 10 proche de la réalité" (rapport du 29 octobre 2016, dossier OAI, p. 448; cf. ég. p. 232, 248, 302 et 308). Quant aux anciens psychiatres traitants, ceux-ci faisaient déjà part de leurs préoccupations à l'égard de la recourante. La Dresse G.________, spécialiste en psychiatrie et psychothérapie, faisait ainsi part d'une personne "étrange et d'une méfiance extraordinaire" et parlait d'un "ébranlement de sa personne" (dossier OAI, p. 210). Le Dr H.________, spécialiste en psychiatrie et psychothérapie, faisait lui aussi mention d'une "présence concomitante de bizarrerie relationnelle, d'une méfiance, d'une interprétativité, d'une pensée se désorganisant, le tout entraînant une anxiété sociale et un retrait" (dossier OAI, p. 98 et 105). On précisera que l'expert, le Dr D.________, estime que "l'incapacité de travail est complète et clairement évaluée comme telle par ces trois praticiens", soit le Dr F.________, la Dresse G.________ et le Dr H.________ (dossier OAI, p. 322).</w:t>
      </w:r>
    </w:p>
    <w:p>
      <w:r>
        <w:rPr>
          <w:b/>
        </w:rPr>
        <w:t>E. 5.3</w:t>
      </w:r>
    </w:p>
    <w:p>
      <w:r>
        <w:t>Il ressort de l'ensemble de ce qui précède qu'il existe une divergence notable entre les résultats de l'enquête économique sur le ménage et les constatations d'ordre médical relatives à la capacité d'accomplir les travaux habituels, tant s'agissant du Dr D.________ que des autres médecins interrogés, y compris le médecin du SMR. Dans un tel cas, les constatations d'ordre médical ont, en règle générale, plus de poids que l'enquête à domicile dès lors que, selon la jurisprudence, il est souvent difficile pour la personne chargée de l'enquête à domicile de reconnaître et d'apprécier l'ampleur de l'atteinte psychique et les empêchements en résultant. La Cour prend note du fait que l'enquêtrice est "ergothérapeute avec une spécialisation en psychiatri[e] (après avoir travaillé dans un centre hospitalier vaudois pendant plusieurs années)". Si cela consolide effectivement l'appréciation de cette dernière, l'on ne saurait pour autant passer outre l'avis unanime des médecins interrogés, lesquels font tous état d'une personne anosognique qui, en période de décompensation, ne serait plus à même de se gérer personnellement. Cela étant, le Dr D.________, la Dresse G.________ et le Dr H.________ ne quantifient pas les empêchements subis par la recourante dans la tenue de son ménage. Seul le Dr F.________ l'évalue à un minimum de 50%, tout en admettant ne pas être bien placé pour juger de l'aptitude aux travaux ménagers, dès lors qu'il ne dispose pas d'observations concrètes. En l'absence de conclusions concordantes entre l'enquête économique sur le ménage et les constatations d'ordre médical, il appartenait à l'OAI de procéder à de nouvelles investigations. Il lui aurait, par exemple, été possible de soumettre les conclusions de l'enquête économique sur le ménage aux médecins, notamment l'expert, pour qu'ils s'expliquent sur les divergences entre leur appréciation et celle de l'enquêtrice. Dans ces circonstances, il apparaît que la cause est insuffisamment instruite pour permettre à la Cour de statuer. Cela justifie le renvoi de la cause pour instruction complémentaire à l'autorité intimée.</w:t>
      </w:r>
    </w:p>
    <w:p>
      <w:r>
        <w:rPr>
          <w:b/>
        </w:rPr>
        <w:t>E. 5.4</w:t>
      </w:r>
    </w:p>
    <w:p>
      <w:r>
        <w:t>Cela étant, le 10 mars 2017, l'assurée aurait subi un accident de la circulation routière lequel aurait causé des limitations plus importantes que celles retenues par l'autorité intimée. Le Dr I.________, spécialiste en médecine interne générale, atteste ainsi d'un port de charges plus limité, lequel aurait des conséquences dans sa vie quotidienne lorsqu'elle fait ses courses,</w:t>
      </w:r>
    </w:p>
    <w:p>
      <w:r>
        <w:t>Tribunal cantonal TC Page 9 de 10 lorsqu'elle repasse et en cas de travail en hauteur ou sous les meubles (bordereau recours, pièces 3 et 4). Le Dr J.________, spécialiste en oto-rhino-laryngologie, soutient quant à lui que cet accident a causé des limitations pour les déplacements en voiture et des dérangements au niveau de la nuque (bordereau recours, pièce 6). Ces limitations, en lien avec un accident antérieur de près d'une année à la décision ici contestée, pourraient justifier la prise en compte d'un empêchement plus élevé sur le plan ménager. Or, elles n'ont jamais été investiguées, étant relevé que, entre le projet de décision du 16 septembre 2016 et la décision du 26 février 2018, soit pendant près d'une année et demie, l'autorité intimée ne s'est fait produire aucun rapport médical. Il s'agit d'un autre motif de renvoi pour instruction complémentaire.</w:t>
      </w:r>
    </w:p>
    <w:p>
      <w:r>
        <w:rPr>
          <w:b/>
        </w:rPr>
        <w:t>E. 6</w:t>
      </w:r>
    </w:p>
    <w:p>
      <w:r>
        <w:t>Partant, le recours, bien fondé, doit être admis, la décision étant annulée, et le dossier renvoyé à l'autorité intimée pour instruction complémentaire et nouvelle décision. Les frais de procédure, par CHF 800.-, sont mis à la charge de l'autorité intimée. L'avance de frais du même montant versée par la recourante lui est restituée. Ayant obtenu gain de cause, la recourante, représentée par un mandataire professionnel, a droit à des dépens pour ses frais de défense. Le 14 mai 2018, son mandataire a produit sa liste de frais pour un montant total de CHF 3'979.25, soit CHF 2'679.15 au titre d'honoraires (643 minutes à CHF 250.-), CHF 45.50 pour les photocopies, CHF 52.90 pour les débours, CHF 213.85 au titre de la TVA (7.7%) et CHF 987.85.- au titre d'émoluments (non soumis à la TVA). Sur la base de cette liste, l'indemnité de partie est fixée à CHF 2'991.40, soit CHF 2'679.15 au titre d'honoraires (643 minutes à CHF 250.-), CHF 45.50 pour les photocopies, CHF 52.90 pour les débours, CHF 213.85 au titre de la TVA (7.7%). Ce montant est mis intégralement à la charge de l'autorité intimée. (dispositif en page suivante)</w:t>
      </w:r>
    </w:p>
    <w:p>
      <w:r>
        <w:t>Tribunal cantonal TC Page 10 de 10 la Cour arrête : I. Le recours est admis. Partant, la décision du 26 février 2018 est annulée et le dossier renvoyé à l'autorité intimée pour instruction complémentaire dans le sens des considérants et nouvelle décision. II. Les frais de procédure, par CHF 800.-, sont mis à la charge de l'autorité intimée; l'avance de frais du même montant versée par le recourant lui est restituée. III. L'indemnité de partie est fixée à CHF 2'991.40, dont CHF 213.85 au titre de la TVA (7.7%); ce montant est mis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août 2018/pte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