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76 vom 22. August 2018</w:t>
      </w:r>
    </w:p>
    <w:p>
      <w:r>
        <w:t>FR Kantonsgericht, 2018-08-22, FR</w:t>
      </w:r>
    </w:p>
    <w:p>
      <w:r>
        <w:rPr>
          <w:b/>
        </w:rPr>
        <w:t xml:space="preserve">Quelle: </w:t>
      </w:r>
      <w:r>
        <w:t>https://mcp.opencaselaw.ch/entscheid/fr_gerichte_608_2018_76</w:t>
      </w:r>
    </w:p>
    <w:p>
      <w:r>
        <w:t>FR: FR_GERICHTE 608 2018 76 du 22 août 2018</w:t>
      </w:r>
    </w:p>
    <w:p>
      <w:r>
        <w:t>IT: FR_GERICHTE 608 2018 76 del 22 agosto 2018</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2015. Le 17 mars 2016, il a requis l'octroi de prestations auprès de l'Office de l'assurance-invalidité du canton de Fribourg (ci-après: OAI), alléguant que ses jambes s'étaient progressivement paralysées suite à une hernie discale calcifiée. Dans le cadre de l'instruction du dossier, l'OAI a mandaté C.________, de la société D.________ AG, pour une enquête agricole. Dans son rapport du 23 janvier 2017, celui-ci a évalué à 65% la diminution de la capacité de travail de l'assuré, passant de 3'000 (avant l'invalidité) à 1'050 (après invalidité) heures effectives de main-d'œuvre. Par décision datée du 23 février 2018 (calcul de la caisse de compensation transmis le 27 mars 2018), laquelle reprend un projet du 24 octobre 2017, l'OAI lui a reconnu le droit à un quart de rente d'invalidité dès le 1er septembre 2016 sur la base d'un degré d'invalidité de 46.78%. Celui-ci découle de la comparaison d'un revenu de valide de CHF 126'234.60 avec un revenu d'invalide de CHF 67'184.-, ce dernier correspondant au revenu que l'on peut attendre de lui dans le cadre d'une activité salariée dans la production industrielle légère. B. Contre cette décision, l'assuré, représenté par Me Hervé Bovet, avocat, interjette recours devant le Tribunal cantonal le 20 mars 2018 concluant, avec suite de frais et dépens, à l'octroi d'une rente entière. A l'appui de son recours, il se plaint de ce que l'OAI n'a pas suivi l'avis de son Service médical régional (ci-après: SMR), lequel retient que le recourant n'est en mesure de travailler qu'à 50%. Il conteste ensuite le revenu de valide de CHF 126'234.60 pris en compte par l'OAI, se référant au revenu de CHF 148'396.- obtenu en 2014. Il soutient encore que l'OAI n'a pas établi qu'il existe réellement une activité adaptée exigible, la seule référence à une "activité dans la production industrielle légère ou les services" étant, à ses yeux, insuffisante. Quoi qu'il en soit, il estime que, au vu de son âge et de son parcours de vie, on ne peut pas exiger de lui qu'il change d'activité, qui plus est dans une activité exclusivement assise. A tout le moins, il estime que cela justifierait la prise en compte d'un abattement de 20% de son revenu d'invalide. Le 29 mars 2018, le recourant s'est acquitté de l'avance de frais de CHF 800.- requise. Dans ses observations du 19 avril 2018, l'OAI propose le rejet du recours. Il confirme d'abord le montant retenu au titre de revenu de valide, lequel tient compte d'éléments non retenus dans le montant exigé par le recourant et correspond à une moyenne sur 5 ans. Rappelant les conclusions du médecin du SMR, il estime, en outre, que le recourant possède une capacité de travail de 100% dans une activité adaptée. Enfin, il considère qu'il n'y a pas lieu d'admettre un abattement sur le revenu d'invalide, les facteurs avancés par le recourant ayant déjà été pris en compte. Il n'a pas été procédé à un autre échange d'écritures entre les parties.</w:t>
      </w:r>
    </w:p>
    <w:p>
      <w:r>
        <w:t>Tribunal cantonal TC Page 3 de 12 Il sera fait état des arguments, développés par elles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teneur de l’art. 8 al. 1 de la loi fédérale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3. 3.1.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3.2.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w:t>
      </w:r>
    </w:p>
    <w:p>
      <w:r>
        <w:t>Tribunal cantonal TC Page 4 de 12 Cette comparaison des revenus s’effectue, en règle générale, en chiffrant aussi exactement que possible les montants de ces deux revenus (RCC 1985 p. 469).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3.3. Pour sa part,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w:t>
      </w:r>
    </w:p>
    <w:p>
      <w:r>
        <w:t>Tribunal cantonal TC Page 5 de 12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 3.4. Pour les cas où il n'est pas possible d'établir ou d'évaluer de manière fiable les deux revenus hypothétiques provenant d'une activité lucrative, notamment dans le cas où l'assuré travaille sans être rémunéré dans l’entreprise de son conjoint ou est un travailleur indépendant, le Tribunal fédéral a établi que l'invalidité doit être évaluée, dans l'activité exercée, d'après l'incidence de la capacité de rendement amoindrie sur la situation économique concrète (ATF 128 V 29 consid. 1). C’est la méthode dite extraordinaire d’évaluation du taux d’invalidité. Sur la base de cette méthode, inspirée de la méthode spécifique, on constate d'abord l'empêchement dû à la maladie ou l'infirmité, puis l'on apprécie séparément les effets de cet empêchement sur la capacité de gain (Pratique VSI 2/1998 p. 121; Droit des assurances sociales - Jurisprudence SVR 1996 IV n° 74 consid. 2b).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(CIIAI, ch. 3105s). La différence fondamentale entre la procédure extraordinaire d'évaluation et la méthode spécifique (selon l'art. 28 al. 3 LAI en corrélation avec les art. 26bis et 27 al. 1 RAI)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(procédure extraordinaire d'évaluation; ATF 128 V 30 consid. 1; 104 V 136 consid. 2; VSI 1998 p. 122 consid. 1a et p. 257 consid. 2b). 3.5.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w:t>
      </w:r>
    </w:p>
    <w:p>
      <w:r>
        <w:t>Tribunal cantonal TC Page 6 de 12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p. 209 et les références; cf. aussi arrêt 9C_644/2015 du 3 mai 2016 consid. 4.3.1).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(cf. arrêts TF 9C_578/2009 du 29 décembre 2009 consid. 4.2.4; 9C_236/2009 du 7 octobre 2009 consid. 4.3 et les références; voir également arrêt TF 8C_748/2008 du 10 juin 2009 consid. 4; s'agissant de la situation d'un agriculteur, voir arrêt TF I 38/06 du 7 juin 2006 consid. 3.2 et les références). De jurisprudence constante, ce n'est qu'à des conditions strictes que l'on peut considérer qu'un changement d'activité professionnelle, singulièrement la cessation d'une activité agricole, ne constitue pas une mesure raisonnablement exigible de l'assuré; en particulier, l'activité exercée jusqu'alors ne doit pas être poursuivie aux coûts de l'assurance-invalidité, même si l'intéressé effectue un travail d'une certaine importance économique (arrêts TF 9C_644/2015 du 3 mai 2016 consid. 4.3.1; 8C_413/2015 du 3 novembre 2015 consid. 3.3.1; 9C_357/2014 du 7 avril 2015 consid. 2.3.1; 9C_624/2013 du 11 décembre 2013 consid. 3.1.1; 9C_834/2011 du 2 avril 2012 consid. 4 et les références). 4. 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4.1.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w:t>
      </w:r>
    </w:p>
    <w:p>
      <w:r>
        <w:t>Tribunal cantonal TC Page 7 de 12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4.2.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4.3.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w:t>
      </w:r>
    </w:p>
    <w:p>
      <w:r>
        <w:t>Tribunal cantonal TC Page 8 de 12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5. Est d'abord litigieuse l'évaluation de la capacité résiduelle de travail et du revenu d'invalide du recourant. 5.1. A titre liminaire, la Cour rappelle que dans un arrêt 9C_578/2009 le Tribunal fédéral a jugé qu'il n'était pas exigible d'un agriculteur de 57 ans d'abandonner son exploitation, même si, d'un point de vue objectif, rien ne faisait obstacle à ce que l'assuré change d'activité professionnelle. Force est de constater que le cas d'espèce revêt de nombreuses similitudes avec l'affaire mentionnée ci-dessus. En effet, le recourant est âgé de plus de 58 ans et ne possède aucune autre expérience professionnelle. De même, pour le recourant, passer d'une activité d'indépendant à une activité dépendante, comme le propose l'autorité intimée, constituerait une profonde remise en question socio-professionnelle présupposant des facultés d'adaptation nullement confirmées par les pièces au dossier, C.________ déconseillant même une telle reconversion, soulignant que "eine berufliche Neuorientierung ist aus Altersgründen und der unsicheren Fahrtüchtigkeit nicht empfehlenswert" (cf. dossier OAI, p. 164). Par ailleurs, on doit tenir compte des efforts auxquels le recourant a consenti pour endiguer, avec l'aide de son épouse et de ses enfants, l'atteinte à sa capacité de gain, efforts dont témoigne au demeurant C.________ dans son rapport du 23 janvier 2017 (cf. dossier OAI, p. 164). Enfin, comme il sera démontré ci-après, il apparait que les perspectives de revenu offertes par l'exercice d'une autre activité ne sont pas notablement plus élevées à celles du revenu obtenu malgré son handicap dans l'exploitation de son domaine agricole. Au demeurant, l'on ne saurait non plus ignorer qu'un changement d'activité nécessiterait un temps d'adaptation, le recourant ne pouvant objectivement pas abandonner son exploitation du jour au lendemain. La fin de son activité agricole est, en effet, conditionnée à la vente ou à la liquidation de son exploitation de près de 60 ha (terrain en partie en pâture et en partie cultivée) et de plus de 100 bêtes (vaches, taureaux, bœufs, veaux) (cf. dossier OAI, p. 165). Au vu de la pondération de ces différents facteurs, on ne peut pas exiger du recourant qu'il abandonne son activité d'agriculteur indépendant. Quant à sa conclusion, cette pondération se distingue du cas de l'arrêt TF 9C_36/2018 du 1er mai 2018. En particulier, dans ce dernier cas, l'assuré était plus jeune (51 ans) et pouvait, en changeant de profession, réaliser un revenu notablement plus élevé que celui qu'il percevrait en tant qu’agriculteur indépendant (cf. ég arrêt TC FR 608 2016 245 du 20 novembre 2017). 5.2. En ce qui concerne la situation médicale, le Tribunal retient ce qui suit. Il ressort de l'examen du dossier que les médecins sont unanimes sur le fait que le recourant n'est plus en mesure de travailler dans son exploitation agricole qu'à un taux de 50%.</w:t>
      </w:r>
    </w:p>
    <w:p>
      <w:r>
        <w:t>Tribunal cantonal TC Page 9 de 12 Ainsi, dans son rapport du 23 mars 2017, le Dr E.________, spécialiste en chirurgie, soutient que l'activité antérieure peut être exercée à 100%, mais en tenant compte d'une "diminution de rendement de 50%" (dossier OAI, p. 177; cf. ég. p. 198). De même, le Dr F.________, spécialiste en médecine interne générale, estime que son patient demeure pleinement apte à exercer son ancienne activité pour autant qu'il soit tenu compte d'une diminution de rendement, en dernier lieu, de 50%. Le généraliste fait état de limitations notamment en lien avec le maintien de la même position (1 heure par jour), le port de charges (moins de 10 kg) et les positions à genoux, accroupie et en rotation, la marche en terrain irrégulier (rapports des 13 juin et 19 septembre 2016, dossier OAI, p. 51 et 70). Ces limitations sont en lien avec celles qui ont été constatées par le Dr G.________, spécialiste en chirurgie orthopédique et traumatologie de l'appareil locomoteur. Dans son rapport du 11 avril 2016, ce médecin relevait ainsi ce qui suit: "Prinzipiell kann [le recourant] leichte körperliche Tätigkeiten mit einem Wechsel von sitzender und stehender Tätigkeit ausüben. Das Heben und Tragen schwerer Lasten sowie Zwangshaltungen für die Wirbelsäule sollten vermieden werden. Dauerhafte Arbeit und auf unebenem Boden sind bei persistierender Gangunsicherheit unvorteilhaft" (dossier OAI, p. 44). Ainsi, quant à la problématique de la capacité de travail dans l'activité d'agriculteur, le médecin du SMR partage l'avis des médecins traitants. On indiquera, à ce stade, que les conclusions de l’analyse économique faite par C.________ se fondent également sur dites limitations fonctionnelles. 5.3. Pour trancher la question de savoir si un abandon de l'activité d'indépendant est exigible, il y a lieu en principe de connaître la capacité de travail dans une activité adaptée. Si les avis des médecins concordent sur la capacité de travail restreinte dans l'ancienne activité, force est de constater que tel n'est pas le cas s'agissant de l'exercice d'une activité adaptée. Le Dr E.________ retient en effet que la capacité de travail est entière dans une activité, pour autant que celle-ci se fasse en position "exclusivement assise" et respecte les limitations suivantes: "pas lever des charges de plus de 10kg, pas de travail en position vicieuse pour la colonne vertébrale, travail physique léger avec possibilité de changement de position, pas de marche sur terrain inégal" (dossier OAI, p. 177). Selon lui, il n'y a "aucune diminution de rendement dans une activité respectant ses limitations (activité de bureau par exemple)" (dossier OAI, p. 198). Pour sa part, le Dr F.________ ne pense pas qu'on puisse exiger de son patient qu'il exerce une autre activité, affirmant que "la capacité de travail de [s]on patient est fortement altérée dans son métier et le serait dans n'importe quelle activité". Ainsi, même dans une activité adaptée, le médecin estime la capacité de travail à 50% (rapports des 13 juin et 19 septembre 2016, dossier OAI, p. 51 et 70). Le Dr G.________ renvoie à cette appréciation (dossier OAI, p. 44). L'avis du Dr E.________, à la formulation quelque peu embrouillée, n'est que très peu motivé et s'écarte des autres avis médicaux au dossier alors même que le médecin n'a pas personnellement examiné le patient. Quant au Dr G.________, l'on ne saurait ignorer qu'il n'est pas spécialiste dans les problématiques d'espèce, mais également qu'il est le médecin traitant du recourant, ce qui pourrait le pousser, en cas de doute, à prendre parti pour lui (cf. ATF 125 V 351 consid. 3b/cc et</w:t>
      </w:r>
    </w:p>
    <w:p>
      <w:r>
        <w:t>Tribunal cantonal TC Page 10 de 12 les références citées). Dans ces circonstances, tant l'avis du Dr E.________ que celui du Dr G.________ n'apparaissent que peu convaincants. Au vu de ce qui précède, l'instruction de la cause n'apparaît, sur le plan médical, pas être suffisante. Les pièces au dossier ne permettent pas de retenir ou d'exclure, qui plus est au degré de la vraisemblance prépondérante, que la capacité de travail du recourant est restreinte dans l'exercice d'une activité adaptée et, cas échéant, la quantification de dite capacité de travail restreinte. Il y a ainsi violation de l'obligation d'établir les faits pertinents qui incombe à l'autorité intimée dans le cadre du principe inquisitoire, laquelle pourrait justifier un renvoi pour mise sur pied de mesures d'instruction complémentaires. 5.4. Un renvoi pour instruction complémentaire pour définir exactement la capacité de travail dans une activité adaptée n'apparaît cependant pas adéquat en l'espèce. En effet, même si une capacité de travail entière était retenue dans une activité adaptée, le calcul opéré par l'autorité intimée – lequel la conduit à retenir un degré d'invalidité de 46.8% – ne saurait pour autant être confirmé. Ainsi, contrairement à ce qu'estime l'OAI qui n'en a pas tenu compte, il est nécessaire de réduire le revenu d'invalide d'un abattement conséquent, en particulier au vu de l'influence globale des limitations fonctionnelles retenues unanimement par les médecins, de l'âge avancé du recourant et de ses nombreuses années de travail en tant qu'agriculteur indépendant. Dans ces circonstances, un changement d'activité – même à temps plein et compte tenu d'un rendement entier – conduirait, au moins, à la reconnaissance du droit à une demi-rente et aurait également pour effet de conduire à une perte de revenu notable comparée au revenu de valide. Ce changement d'activité ne serait manifestement pas de nature à permettre au recourant d'obtenir un revenu notablement plus élevé que celui qu'il retirerait du maintien de son activité en tant qu'agriculteur indépendant. Au vu de ce qui a d'ores et déjà été relevé au considérant 5.1 ci-avant, l'invalidité doit être évaluée en fonction de son activité d'agriculteur. 5.5. Reste à déterminer le degré d'invalidité correspondant à sa capacité de travail résiduelle dans dite activité. Dans son enquête du 23 janvier 2017, C.________ fait état d'empêchements qui correspondent aux limitations retenues par les trois médecins. Il atteste de leurs impacts concrets sur l'exercice de l'activité d'agriculteur, notamment dans les domaines suivants: "alle Arbeiten mit Tieren [wie] Melken der Kühe, Tiere führen, anbinden, füttern, pflegen[,] usw.", "Auf- und Absteigen auf Fahrzeuge, Leitern, usw.", "Alle Tätigkeiten die Schnelligkeit, Gleichgewicht und Beweglichkeit erfordern" et "Gehen im Feld, auf unregelmässigem Boden (säubern des Saatgetreides)" (dossier OAI, p. 164). Compte tenu de ces limitations ainsi que de l'évaluation de l'exploitation agricole, il retient un revenu de valide de CHF 115'125.- (moyenne des revenus de 2010 à 2014, après partage des participations des membres de la famille) et un revenu d'invalide de CHF 38'061.- (année 2017). Il atteste d'une perte de gain de CHF 77'064.-, laquelle correspond à un degré d'invalidité de 67% (dossier OAI, p. 164). S'agissant du revenu de valide, l'enquêteur se réfère à un revenu moyen,</w:t>
      </w:r>
    </w:p>
    <w:p>
      <w:r>
        <w:t>Tribunal cantonal TC Page 11 de 12 lequel permet de prendre en compte les variations inévitables du revenu liées à l'activité agricole. De telles variations ne sont manifestement pas prises en considération s'il est fait référence au revenu d'une seule année. Lorsque le recourant demande que son revenu de valide soit fondé sur les seuls revenus fiscaux de l'année 2014, il ne peut dès lors être suivi. Selon C.________, avec l'aide des employés et des membres de la famille, une perte financière plus élevée peut être évitée. En terme de forces de travail, il compare les 3'000 unités de main d'œuvre (UM) aux 1'050 UM actuelles, ce qui aboutit à une diminution de 65%. Il estime ainsi que l'exploitation a été adéquatement adaptée à l'état de santé du recourant (dossier OAI, p. 164). Il apparaît ainsi que, tant sous l'angle financier que sous l'angle de la main d'œuvre, le degré d'invalidité du recourant peut être estimé entre 65% et 67%. Un tel degré d'invalidité correspond à un trois-quarts de rente. 6. Le recours est dès lors partiellement admis et la décision du 23 février 2018 modifiée dans le sens que le recourant se voit reconnaître le droit à un trois-quarts de rente dès le 1er septembre 2016 (fin du délai de six mois; art. 29 al. 1 LAI).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600.- (3/4) à la charge de l'autorité intimée et de CHF 200.- (1/4) à la charge du recourant. Ce dernier ayant versé une avance de frais de CHF 800.-, les frais de procédure sont compensés à hauteur de CHF 200.- et le solde de CHF 600.- lui est restitué. Ayant obtenu gain de cause, le recourant a droit à des dépens (cf. art. 61 let. g LPGA et 138 al. 2 du code cantonal du 23 mai 1991 de procédure et de juridiction administrative; CPJA; RSF 150.1). Le 9 février 2018, son mandataire a produit sa liste de frais d'un montant total de CHF 3'480.40, soit CHF 3'020.85 au titre d'honoraires (725 minutes à CHF 250.-), CHF 140.50 au titre des photocopies, CHF 70.20 au titre des débours et CHF 248.85 au titre de la TVA (7.7%). Ce montant est intégralement mis à charge de l'autorité intimée.</w:t>
      </w:r>
    </w:p>
    <w:p>
      <w:r>
        <w:t>Tribunal cantonal TC Page 12 de 12 la Cour arrête : I. Le recours est partiellement admis et la décision du 23 février 2018 modifiée dans le sens que le recourant se voit reconnaître le droit à un trois-quarts de rente dès le 1er septembre 2016. II. Les frais de justice, de CHF 800.-, sont mis à raison de CHF 600.- à la charge de l'autorité intimée et de CHF 200.- à la charge du recourant; le solde de CHF 600.- est restitué au recourant. III. L'indemnité allouée à Me Hervé Bovet, avocat, est fixée à CHF 3'480.40, dont CHF 248.85 au titre de la TVA (7.7%). Elle est intégralement prise en charge par l'Etat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