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319 vom 15. Mai 2019</w:t>
      </w:r>
    </w:p>
    <w:p>
      <w:r>
        <w:t>FR Kantonsgericht, 2019-05-15, DE</w:t>
      </w:r>
    </w:p>
    <w:p>
      <w:r>
        <w:rPr>
          <w:b/>
        </w:rPr>
        <w:t xml:space="preserve">Quelle: </w:t>
      </w:r>
      <w:r>
        <w:t>https://mcp.opencaselaw.ch/entscheid/fr_gerichte_608_2018_319</w:t>
      </w:r>
    </w:p>
    <w:p>
      <w:r>
        <w:t>FR: FR_GERICHTE 608 2018 319 du 15 mai 2019</w:t>
      </w:r>
    </w:p>
    <w:p>
      <w:r>
        <w:t>IT: FR_GERICHTE 608 2018 319 del 15 maggio 2019</w:t>
      </w:r>
    </w:p>
    <w:p>
      <w:pPr>
        <w:pStyle w:val="Heading2"/>
      </w:pPr>
      <w:r>
        <w:t>Regeste</w:t>
      </w:r>
    </w:p>
    <w:p>
      <w:r>
        <w:t>Arrêt de la IIe Cour des assurances sociales du Tribunal cantonal | Invalidenversicherung</w:t>
      </w:r>
    </w:p>
    <w:p>
      <w:pPr>
        <w:pStyle w:val="Heading2"/>
      </w:pPr>
      <w:r>
        <w:t>Erwägungen</w:t>
      </w:r>
    </w:p>
    <w:p>
      <w:r>
        <w:rPr>
          <w:b/>
        </w:rPr>
        <w:t>E. 2</w:t>
      </w:r>
    </w:p>
    <w:p>
      <w:r>
        <w:t>novembre 2018. C. Contre cette décision, A.________ interjette recours devant le Tribunal cantonal le 30 novembre 2018 concluant au maintien de sa rente, avec suite de frais et dépens. A l'appui de ses conclusions, elle revient sur l'évolution de sa santé et relève que la capacité de travail de 60%, attestée médicalement, n'a pas été effective avant l'année scolaire 2016-2017. Elle ajoute avoir été amenée à assumer des effectifs plus grands que précédemment, ce qui a progressivement conduit à une forte surcharge. L'année suivante (2017-2018), contre l'avis de son médecin traitant, elle a poursuivi son activité, en mettant en place un soutien spécifique (aide à domicile et médiation scolaire, respectivement soutien psychologique) avec, à nouveau, la contrainte de prendre en cours d'année des appuis-classe plus astreignants. C'est alors qu'elle a subi une fracture de la cheville, entraînant une incapacité de travail de décembre 2017 à avril 2018. Confrontée au dilemme de poursuivre ainsi qu'au risque d'y perdre sa santé ou de baisser son temps de travail, tout en constatant ne pas être en mesure d'assumer des classes à effectif normal, elle a subi un arrêt de travail de deux semaines en octobre 2018. En conclusion, elle constate avoir présumé de ses capacités et ne pas être en mesure de poursuivre l'activité au taux prévu depuis la rentrée 2016, sans s'exposer à un absentéisme régulier. Elle conclut donc, implicitement, au maintien de la rente accordée jusqu'alors. Le 5 janvier 2019, elle s'est acquittée d'une avance de frais de CHF 800.-. Dans ses observations du 8 février 2019, l'OAI renvoie aux motifs de sa décision et conclut au rejet du recours. Tribunal cantonal TC Page 3 de 8 Appelée en cause le 21 mars 2019, en sa qualité d'institution de prévoyance intéressée, D.________ a renoncé à se déterminer. Les 5 et 29 avril 2019, la recourante s'est spontanément déterminée par le biais de plusieurs messages électroniques, accompagnés de différentes pièces. Il sera fait état des arguments, développés par les parties à l'appui de leurs conclusions, dans les considérants de droit du présent arrêt, pour autant que cela soit utile à la solution du litige. en droit 1. Interjeté en temps utile auprès de l'autorité judiciaire compétente et dans les formes légales par une assurée directement touchée par la décision attaquée, le recours est recevable.</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2.2</w:t>
      </w:r>
    </w:p>
    <w:p>
      <w:r>
        <w:t>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aux conditions suivantes : a. sa capacité de gain ou sa capacité d'accomplir ses travaux habituels ne peut pas être rétablie, maintenue ou améliorée par des mesures de réadaptation raisonnablement exigibles; b. il a présenté une incapacité de travail (art.</w:t>
      </w:r>
    </w:p>
    <w:p>
      <w:r>
        <w:rPr>
          <w:b/>
        </w:rPr>
        <w:t>E. 2.3</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Tribunal cantonal TC Page 4 de 8 pour déterminer quels travaux on peut encore, raisonnablement, exiger de l'assuré (ATF 125 V 256 consid. 4; 115 V 133 consid. 2; 114 V 310 consid. 3c; 105 V 156 consid. 1).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 cent peut aussi suffire. Le revenu hypothétique réalisable sans invalidité équivaut alors à 100%, tandis que le revenu d'invalide est estimé à un pourcentage plus bas, la différence en pour cent entre les deux valeurs exprimant le taux d'invalidité (comparaison en pour cent; ATF 114 V 310 consid. 3a et les références citées).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w:t>
      </w:r>
    </w:p>
    <w:p>
      <w:r>
        <w:rPr>
          <w:b/>
        </w:rPr>
        <w:t>E. 2.4</w:t>
      </w:r>
    </w:p>
    <w:p>
      <w:r>
        <w:t>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Une simple appréciation différente d’un état de fait, qui pour l’essentiel est demeuré inchangé, n’appelle en revanche pas une révision au sens de l’art. 17 LPGA (ATF 112 V 371 consid. 2b). Une simple réévaluation des conditions relatives à l’invalidité ne suffit certes pas pour réduire une rente par voie de révision; cette conception repose toutefois sur la condition que la première fixation de la rente soit intervenue sur la base d’un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Tribunal cantonal TC Page 5 de 8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et 9C_910/2010 du 7 juillet 2011 consid. 3.2 a contrario).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 l’inverse, conformément à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Conformément à l’art. 31 LAI, si un assuré ayant droit à une rente perçoit un nouveau revenu ou que son revenu existant augmente, sa rente n'est révisée conformément à l'art. 17 al. 1 LPGA que si l'amélioration du revenu dépasse CHF 1'500.- par an. 3. Le litige porte sur l’évolution du taux d'invalidité de l'assurée, singulièrement sur l’évolution de sa capacité de gain résiduelle. 3.1. La dernière décision ayant examiné concrètement la situation de l'assurée est celle du 22 septembre 2005. A cette époque, l'OAI s'était basé sur un rapport de la Dresse E.________, oncologue traitante, qui, le 24 juin 2005, certifiait que sa patiente pouvait reprendre une activité professionnelle à 60% dès le 1er septembre 2005. L'OAI avait donc retenu l'existence d'une capacité de gain de 60% dans son activité d'enseignante et avait de ce fait conclu à une perte de gain de 40%, ouvrant droit à un quart de rente d'invalidité, en lieu et place de la rente entière accordée jusqu'alors. 3.2. La nouvelle évaluation de l'invalidité entreprise par l'OAI est liée à un changement important de l'état de fait déterminant, à savoir la circonstance que la recourante a augmenté son temps de travail et augmenté ainsi ses revenus. Cela est notamment corroboré par l'extrait de compte individuel AVS (p. 489 du dossier AI) en vertu duquel son salaire, inférieur à CHF 60'000.- jusqu'en 2016, est passé à CHF 72'614.- en 2017, soit une progression non négligeable. Il a d'ailleurs encore cru en 2018, passant à Tribunal cantonal TC Page 6 de 8 CHF 74'132.80, si l'on en croit la taxation fiscale y relative, remise par l'assurée à l'appui d'un courriel du 5 avril 2019. Il s'agit indéniablement d'une modification des circonstances susceptible d'influencer notablement le degré d'invalidité de l'assurée (cf. supra consid. 2.4), de sorte que l'autorité intimée était fondée à procéder à une révision. 3.3. Cela étant, l'essentiel de l'argumentation de la recourante ne porte pas sur l'augmentation de salaire précitée, mais bien sur ses difficultés à pouvoir assumer durablement la charge de travail qu'implique l'horaire élargi assumé depuis la rentrée 2016, en particulier lorsque l'effectif des classes augmente. Il convient dès lors de déterminer si cette augmentation de la capacité de travail était durable et notable (cf. supra consid. 2.4). Sur le plan strictement médical, la situation se présente comme suit. Dans un rapport du 17 mai 2018, le Dr F.________, généraliste traitant, évoque certes l'incapacité liée à une fracture de la cheville droite (100% dès le 13 décembre 2017, puis 50% du 21 mars au 15 avril 2018). Globalement, il confirme toutefois la poursuite d'une incapacité de travail de 40%, liée à une évolution dépressive chronique ainsi qu'à un état de fatigue chronique séquellaire à l'affection oncologique. Il relève la présence de "troubles dysthymiques dépressifs en partie réactionnels à cet arrêt de travail, à la fracture de la cheville D, un état d'épuisement en partie lié à l'accompagnement de son père, malade, en chaise roulante, hémophile". Selon lui, "la capacité de travail actuelle (60% d'un plein temps) peut et doit être maintenue. Elle ne peut pas être augmentée, cela comporterait pour la patiente un risque évident de surcharge et de décompensation. L'activité professionnelle participe néanmoins au maintien de la santé de la patiente". Le généraliste estime "peu probable que la patiente ait les ressources pour assumer sur du long terme une activité d'enseignante au-delà de 60%". De son côté, dans un rapport du 2 juillet 2018, la Dresse G.________, psychiatre traitante depuis le début avril 2018, relève d'emblée que l'état de la patiente ne justifie pas un traitement intensif, elle confirme la capacité de travail de 60% dans l'activité d'enseignante. A l'anamnèse, l'assurée signale notamment bénéficier d'un quart de rente et travailler à 60% en tant qu'enseignante spécialisée. Le motif de la consultation découle avant tout de l'hypersensibilité émotionnelle de cette dernière, qui "se défend de souffrir actuellement de dépression et n'évoque pas de symptômes de la lignée anxieuse, dépressive ou psychotique". La psychiatre ne retient aucun diagnostic psychiatrique pouvant influencer la capacité de travail, évoquant tout au plus des troubles de l'adaptation, réaction mixte anxieuse et dépressive (F43.22), actuellement en phase de rémission. Elle confirme en substance une capacité de travail de 60% dans l'activité habituelle. Dans un rapport du 10 octobre 2018, le Dr F.________ indique que la capacité de travail de l'assurée "est actuellement entamée au plan de sa santé, il est à craindre qu'elle soit durablement compromise si rien n'est entrepris pour maintenir sa capacité de travail restante qui est actuellement de 68% (19 unités sur 28 de temps effectif avec les élèves)". 3.4. L'examen du contenu des rapports précités suscite une certaine perplexité: si les médecins traitants confirment certes une capacité de travail de 60%, inchangée, ils ne semblent en revanche pas au fait de l'évolution professionnelle de l'assurée, et en particulier de l'augmentation de son taux d'activité. Surtout, lesdits médecins ne corroborent pas les difficultés auxquelles la recourante se réfère dans son recours, déposé quelques mois plus tard. Le rapport de la Dresse G.________ est à ce titre assez éloquent, dès lors qu'il n'y est fait aucune mention des difficultés que l'assurée rencontrerait dans le cadre de son travail. La psychiatre indique au contraire que "les Tribunal cantonal TC Page 7 de 8 caractéristiques du travail et le pourcentage lui conviennent autant du point de vue physique que psychique", décrivant une situation pour le moins rassurante et ne retenant aucun diagnostic psychiatrique. Il n'en va pas autrement dans le rapport établi quelques mois plus tôt par le généraliste traitant: celui-ci évoque des troubles dysthymiques réactionnels à l'arrêt de travail dû à la fracture de la cheville ainsi qu'un état d'épuisement lié à la prise en charge, par l'assurée, de son père, âgé et malade. Ces éléments ne sont manifestement pas relevants en l'espèce: s'agissant des troubles de l'humeur réactionnels à l'atteinte à la cheville, ils n'ont tout au plus présenté qu'un caractère transitoire, ce qui est confirmé par le fait que, peu après, la Dresse G.________ a exclu tout diagnostic psychiatrique invalidant. En ce qui concerne la fatigue liée à l'assistance fournie par la recourante à son père, il s'agit-là d'un élément sans rapport direct avec la surcharge professionnelle et dont il n'y a pas à tenir compte dans l'évaluation de l'invalidité (cf. supra consid. 2.3 in fine). Par ailleurs, il est indéniable qu'en dépit de ses problèmes de santé, la recourante a été en mesure d'exercer son activité à un taux plus élevé que précédemment et ce, deux années scolaires durant. Il semble d'ailleurs qu'elle poursuive son activité durant l'année scolaire en cours aux mêmes conditions; aucun élément au dossier ne permet de déduire le contraire. De ce point de vue, on ne saurait donc légitimement retenir la présence d'une amélioration strictement momentanée, puisqu'elle excède largement les trois mois prévus à l'art. 88a RAI (cf. supra consid. 2.4). Certains éléments au dossier justifient certes de nuancer ce propos: si l'année scolaire 2016-2017 ne présente pas de particularité au plan médical, il convient en revanche de relever que la période 2017-2018 a été marquée par une période d'incapacité de travail de plusieurs mois, de mi-décembre 2017 à mi-avril 2018. Cela étant, celle-ci était liée à une affection somatique (fracture de la cheville), sans rapport direct avec la problématique justifiant l'octroi, respectivement le maintien de la rente. Dès lors, si l'on excepte une période d'incapacité de travail de 50% durant une semaine en avril 2018 et de deux semaines à la fin octobre 2018, toutes deux attestées par le généraliste traitant, il n'est pas possible de tirer du dossier des éléments susceptibles d'attester l'impact notoire des problèmes de santé sur la capacité de travail de l'assurée. Plus généralement, il sied de rappeler que la notion d'invalidité en effet est de nature économique/juridique et non médicale (cf. supra consid. 2). En d'autres termes, l'assurance- invalidité suisse couvre seulement les pertes économiques liées à une atteinte à la santé. La rente de l'assurance-invalidité vise à remplacer la perte de gain subie par un assuré en raison des effets d'une atteinte à la santé sur sa capacité de travail. 3.5. S'agissant du calcul de la perte de gain, au demeurant non contesté par la recourante, il appert que le revenu qu'elle réalise actuellement comme enseignante en 2018 (CHF 73'207.55) comparé au gain qu'elle aurait obtenu dans cette ancienne profession sans invalidité (CHF 107'885.05, correspondant à la classe de salaire 20, palier 16 de l'échelle des salaires du personnel), aboutit à une perte de gain de 32%, insuffisante pour pouvoir continuer à bénéficier d'une rente. La Cour de céans ne trouve dès lors rien à redire au sujet du calcul de degré d'invalidité réalisé par l'autorité intimée. On relèvera en outre que le fait de retenir un ou deux paliers supplémentaires pour établir le revenu de valide, pour tenir compte du fait que, sans invalidité, le revenu de l'assurée aurait vraisemblablement progressé plus rapidement, ne change rien à ce résultat. Ainsi, quand bien Tribunal cantonal TC Page 8 de 8 même l'on retiendrait le salaire le plus élevé de la classe de salaire concernée (CHF 115'664.25, soit le palier 20 de la classe 18), le taux d'invalidité est de 36.7%, toujours insuffisant pour donner droit à une rente. Partant, c'est à juste titre que l'OAI a supprimé la rente dont bénéficiait jusqu'alors la recourante. 4. Le recours doit dès lors être rejeté et la décision litigieuse confirmée. La procédure n'étant pas gratuite, les frais de justice, ici fixés à CHF 800.-, doivent être mis à la charge de la recourante, qui succombe. Ils seront compensés avec l'avance de frais prestée. Il n'est pas alloué de dépens, vu l'issue de la procédure. la Cour arrête : I. Le recours est rejeté. II. Les frais de justice, de CHF 800.-, sont mis à la charge de la recourante et compensés avec l'avance du même montant.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mai 2019/mba Le Président : Le Greffier-rapporteur :</w:t>
      </w:r>
    </w:p>
    <w:p>
      <w:r>
        <w:rPr>
          <w:b/>
        </w:rPr>
        <w:t>E. 6</w:t>
      </w:r>
    </w:p>
    <w:p>
      <w:r>
        <w:t>LPGA) d'au moins 40% en moyenne durant une année sans interruption notable; c. au terme de cette année, il est invalide (art. 8 LPGA) à 40 % au moins (art. 28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