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295 vom 4. März 2019</w:t>
      </w:r>
    </w:p>
    <w:p>
      <w:r>
        <w:t>FR Kantonsgericht, 2019-03-04, DE</w:t>
      </w:r>
    </w:p>
    <w:p>
      <w:r>
        <w:rPr>
          <w:b/>
        </w:rPr>
        <w:t xml:space="preserve">Quelle: </w:t>
      </w:r>
      <w:r>
        <w:t>https://mcp.opencaselaw.ch/entscheid/fr_gerichte_608_2018_295</w:t>
      </w:r>
    </w:p>
    <w:p>
      <w:r>
        <w:t>FR: FR_GERICHTE 608 2018 295 du 4 mars 2019</w:t>
      </w:r>
    </w:p>
    <w:p>
      <w:r>
        <w:t>IT: FR_GERICHTE 608 2018 295 del 4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Tribunal cantonal TC Page 3 de 6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393 consid. 2.2; 125 V 256 consid. 4; 115 V 133 consid. 2; 114 V 310 consid. 3c; 105 V 156 consid. 1).</w:t>
      </w:r>
    </w:p>
    <w:p>
      <w:r>
        <w:rPr>
          <w:b/>
        </w:rPr>
        <w:t>E. 2.3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Tribunal cantonal TC Page 4 de 6 Toutefois, le degré de la preuve exigée par l'art. 87 al. 2 RAI n'est pas celui de la haute vraisemblance prépondérante généralement exigée en matière d'assurance sociale (arrêts TF 9C_676/2018 du 27 novembre 2018, consid. 3.3;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9C_698/2018 du</w:t>
      </w:r>
    </w:p>
    <w:p>
      <w:r>
        <w:rPr>
          <w:b/>
        </w:rPr>
        <w:t>E. 3</w:t>
      </w:r>
    </w:p>
    <w:p>
      <w:r>
        <w:t>Est en l'espèce litigieuse la question de savoir si la recourante a établi de manière plausible une éventuelle modification de son état de santé susceptible d'influencer ses droits.</w:t>
      </w:r>
    </w:p>
    <w:p>
      <w:r>
        <w:rPr>
          <w:b/>
        </w:rPr>
        <w:t>E. 3.1</w:t>
      </w:r>
    </w:p>
    <w:p>
      <w:r>
        <w:t>La dernière décision entrée en force reposant sur un examen matériel du droit à la rente est la décision initiale de refus de rente du 12 octobre 2009. A ce moment-là avaient été diagnostiqués des lombalgies chroniques sur discopathies dégénératives, un status après ligamentoplasties L4-L5 et L5-S1 le 30 janvier 2007 et un status après ablation des ligamentoplasties et stabilisation transpédiculaire L4-L5-S1 le 27 mai 2008. Les limitations fonctionnelles étaient les suivantes: éviter le port de charges lourdes supérieur à 10 kg, les travaux pénibles de manutention, la position statique prolongée, les mouvements de contrainte répétitifs au niveau du rachis, la position penchée en avant, la position accroupie ou à genoux, les longs déplacements en terrain irrégulier, le travail en hauteur ou sur un échafaudage et l'exposition au froid ou à l'humidité (rapport du 3 novembre 2008 du Dr C.________, spécialiste en neurochirurgie, dossier OAI p. 80; rapport du 9 décembre 2008 du Dr D.________, spécialiste en médecine du travail et médecine interne générale et médecin SMR, dossier OAI p. 89). Une activité respectant ces limitations était exigible à 100% avec une diminution de rendement de 25%, Tribunal cantonal TC Page 5 de 6 l'activité habituelle étant considérée comme une activité adaptée (rapport du Dr D.________ précité).</w:t>
      </w:r>
    </w:p>
    <w:p>
      <w:r>
        <w:rPr>
          <w:b/>
        </w:rPr>
        <w:t>E. 3.2</w:t>
      </w:r>
    </w:p>
    <w:p>
      <w:r>
        <w:t>La recourante a déposé une nouvelle demande de prestations le 30 avril 2018. Aucun rapport médical n'a toutefois été produit avec cette demande. L'assurée a déposé divers rapports médicaux à l'appui de son recours. Tous établis par le Dr E.________, spécialiste en neurochirurgie, ils avaient en revanche déjà été communiqués à l'autorité intimée avant la date de la décision litigieuse, de sorte qu'on ne saurait les écarter (rapports du 30 novembre 2017, dossier OAI p. 211; du 17 novembre 2017, dossier OAI p. 140; du 17 janvier 2018, dossier OAI p. 144; du 29 mars 2018, dossier OAI p. 209; du 13 juin 2018, dossier OAI p. 208). En effet, l'OAI, lorsqu'il est en présence d'une nouvelle demande, ne peut pas écarter des documents qui avaient été versés au dossier au motif formel que ceux-ci n'avaient pas été joints à celle-ci. Ce médecin pose les diagnostics suivants: "11/2017 Spondylodesenrevision mit Entfernung des Fixateur intern L4-S1 und dynamische Respondylodese L3/4 mit Dekompression bei Anschluss- segmentdegeneration, obere Anschlusssegmentsdegeneration L3-L4 mit linksseitiger Lumbofemo- Ischialgie, leichtgradige linkskonvexe Skoliose, 06/2008 Stabilisation L4-S1, 01/2007 Dekompression und DIAM-Stabilisation L5-S1". Il indique encore d'autres diagnostics, à savoir un dolichocôlon avec constipation chronique, une thrombocytose, des varices bilatérales avec opération en octobre 2014, un kyste ovarien en août 2006 et un épisode psychotique passager en 2016 suite à la pose d'un stérilet. Par ailleurs, il précise le 30 octobre 2017 que l'assurée souffre de douleurs dorsales sévères depuis l'été 2017, qui l'empêchent de s'asseoir et irradient dans la jambe gauche ("ischialgieform, teilweise femoralgieform"). Le 17 janvier 2018, il indique qu'elle ressent toujours une lomboischialgie résiduelle à gauche, qui s'intensifie lorsque la jambe est tendue vers le bas et qu'elle souffre d'un syndrome irritant de l'articulation sacro-iliaque. Il ne discute cependant pas de la capacité de travail.</w:t>
      </w:r>
    </w:p>
    <w:p>
      <w:r>
        <w:rPr>
          <w:b/>
        </w:rPr>
        <w:t>E. 3.3</w:t>
      </w:r>
    </w:p>
    <w:p>
      <w:r>
        <w:t>En comparant les diagnostics posés, il faut constater que, si les troubles en L4-S1 existent toujours, d'autres sont apparus au niveau L3-L4. De plus, ces troubles ont nécessité une nouvelle opération le 17 novembre 2017. Le Dr E.________ mentionne aussi que, depuis l'été 2017, les douleurs empêchent l'assurée de s'asseoir. Ainsi, dans la mesure où des faits nouveaux semblent être survenus, il faut constater qu'une modification essentielle des conditions de faits susceptible d'influer sur le taux d'invalidité de l'assurée a été rendue plausible. La prise de position du 3 octobre 2018 du médecin du SMR, lequel ne l'a pas personnellement examinée, et la décision attaquée ne convainquent donc pas. C'est le lieu de relever encore que la recourante a déposé sa nouvelle demande près de 9 ans après que la décision du 12 octobre 2009 a été rendue, de sorte qu'il n'y a pas à se montrer par trop exigeant pour apprécier le caractère plausible de ses allégations.</w:t>
      </w:r>
    </w:p>
    <w:p>
      <w:r>
        <w:rPr>
          <w:b/>
        </w:rPr>
        <w:t>E. 4</w:t>
      </w:r>
    </w:p>
    <w:p>
      <w:r>
        <w:t>Au vu de ce qui précède, le recours, bien fondé, doit être admis et la décision du 9 octobre 2018 annulée. La cause est renvoyée à l'autorité intimée afin qu'elle entre en matière sur la nouvelle demande. Les frais de procédure, par CHF 400.-, sont mis à la charge de l'autorité intimée qui succombe. L'avance de frais versée le 3 décembre 2018 par la recourante lui est restituée. Tribunal cantonal TC Page 6 de 6 la Cour arrête : I. Le recours est admis. Partant, la décision du 9 octobre 2018 est annulée et la cause renvoyée à l'autorité intimée afin qu'elle entre en matière sur la nouvelle demande et rende une nouvelle décision. II. Les frais de procédure, par CHF 400.-, sont mis à la charge de l'Office de l'assurance- invalidité du canton de Fribourg. III. L'avance de frais versée le 3 décembre 2018 par A.________ lui est restituée.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