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276 vom 22. März 2019</w:t>
      </w:r>
    </w:p>
    <w:p>
      <w:r>
        <w:t>FR Kantonsgericht, 2019-03-22, FR</w:t>
      </w:r>
    </w:p>
    <w:p>
      <w:r>
        <w:rPr>
          <w:b/>
        </w:rPr>
        <w:t xml:space="preserve">Quelle: </w:t>
      </w:r>
      <w:r>
        <w:t>https://mcp.opencaselaw.ch/entscheid/fr_gerichte_608_2018_276</w:t>
      </w:r>
    </w:p>
    <w:p>
      <w:r>
        <w:t>FR: FR_GERICHTE 608 2018 276 du 22 mars 2019</w:t>
      </w:r>
    </w:p>
    <w:p>
      <w:r>
        <w:t>IT: FR_GERICHTE 608 2018 276 del 22 marzo 2019</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La qualité de partie et la capacité d'ester en justice de l'institution de prévoyance demanderesse et de A.________ Sàrl ne saurait au demeurant leur être déniée.</w:t>
      </w:r>
    </w:p>
    <w:p>
      <w:r>
        <w:rPr>
          <w:b/>
        </w:rPr>
        <w:t>E. 2</w:t>
      </w:r>
    </w:p>
    <w:p>
      <w:r>
        <w:t>En vertu de l'art. 10 al. 1 LPP, l’assurance obligatoire commence en même temps que les rapports de travail. Pour les bénéficiaires d’indemnités journalières de l’assurance-chômage, elle commence le jour où ils perçoivent pour la première fois une indemnité de chômage. L'art. 11 LPP dispose que tout employeur occupant des salariés soumis à l’assurance obligatoire doit être affilié à une institution de prévoyance inscrite dans le registre de la prévoyance professionnelle (al. 1). L’affiliation a lieu avec effet rétroactif (al. 3).</w:t>
      </w:r>
    </w:p>
    <w:p>
      <w:r>
        <w:t>Tribunal cantonal TC Page 3 de 4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w:t>
      </w:r>
    </w:p>
    <w:p>
      <w:r>
        <w:rPr>
          <w:b/>
        </w:rPr>
        <w:t>E. 3</w:t>
      </w:r>
    </w:p>
    <w:p>
      <w:r>
        <w:t>La Cour de céans constate que la défenderesse, bien qu'invitée à le faire, ne s'est pas déterminée sur la présente action. Elle ne conteste ainsi pas la quotité de la créance. De plus, c'est à juste titre que la demanderesse a mis à sa charge les frais de résiliation du contrat, prévus par le règlement des frais de gestion, et les intérêts, prévus quant à eux par le contrat d'adhésion. La Cour observe par ailleurs que le décompte final du 9 juillet 2018 était accompagné d'une mise en demeure de s'acquitter du montant total dû, ce jusqu'au 6 août 2018, avec avis qu'à défaut le versement de l'arriéré serait réclamé par voie légale. La demanderesse a conclu à ce que la défenderesse soit astreint au versement de "frais de contentieux" par CHF 600.-. Cette rubrique est reprise dans le commandement de payer, sous le descriptif de la créance, sous la dénomination "frais de traitement", pour le même montant. Ce montant correspond aux frais de réquisition de poursuite pour un montant réclamé de plus de CHF 10'000.- et moins de CHF 50'000.-, prévus au ch. 4 du règlement des frais de gestion. Il sera ainsi fait droit à cette conclusion. Enfin, tant le taux d'intérêt moratoire réclamé, de 5%, que son point de départ, le 6 août 2018, ne prêtent pas le flan à la critique.</w:t>
      </w:r>
    </w:p>
    <w:p>
      <w:r>
        <w:rPr>
          <w:b/>
        </w:rPr>
        <w:t>E. 4</w:t>
      </w:r>
    </w:p>
    <w:p>
      <w:r>
        <w:t>Au vu de ce qui précède, l'action doit être admise.</w:t>
      </w:r>
    </w:p>
    <w:p>
      <w:r>
        <w:rPr>
          <w:b/>
        </w:rPr>
        <w:t>E. 4.1</w:t>
      </w:r>
    </w:p>
    <w:p>
      <w:r>
        <w:t>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témérité ou la légèreté (ATF 128 V 323 consid. 1b; 126 V 143 consid. 4; 127 V 205 consid. 4; 110 V 132 consid. 4). Pour les mêmes motifs (témérité, légèreté), des frais de justice peuvent être mise à la charge de dite partie adverse (ATF 124 V 285 consid. 3 et 4; 110 V 132 consid. 4).</w:t>
      </w:r>
    </w:p>
    <w:p>
      <w:r>
        <w:rPr>
          <w:b/>
        </w:rPr>
        <w:t>E. 4.2</w:t>
      </w:r>
    </w:p>
    <w:p>
      <w:r>
        <w:t>En l'espèce, il ressort du dossier que l'intéressée n'a jamais remis en cause le bien-fondé des prétentions de la demanderesse, ne réagissant pas aux différents courriers envoyés par cette dernière. La demanderesse a été ainsi amenée à ouvrir action et, derechef, la défenderesse n'a pas daigné se déterminer dans le cadre de la présente procédure d'action.</w:t>
      </w:r>
    </w:p>
    <w:p>
      <w:r>
        <w:t>Tribunal cantonal TC Page 4 de 4 Ainsi, au vu du comportement de la défenderesse, la Cour retient que celle-ci a procédé de manière téméraire. Il y a dès lors lieu de mettre les frais de la présente procédure, par CHF 400.-, à sa charge, dès lors qu'elle succombe.</w:t>
      </w:r>
    </w:p>
    <w:p>
      <w:r>
        <w:rPr>
          <w:b/>
        </w:rPr>
        <w:t>E. 4.3</w:t>
      </w:r>
    </w:p>
    <w:p>
      <w:r>
        <w:t>La demanderesse, agissant par le biais d'un service de contentieux interne, n'est pas représentée au sens rappelé ci-dessus. Les autres conditions (affaire compliquée avec haute valeur litigieuse, etc.) susceptibles de permettre néanmoins l'octroi de dépens malgré ce défaut de représentation n'étant pas remplies en l'espèce, elle n'a pas droit à des dépens. la Cour arrête : I. L'action est admise. II. A.________ Sàrl est astreinte à payer à AXA Fondation LPP Suisse romande la somme de CHF 10'414.95, plus intérêts à 5% dès le 6 août 2018, ainsi que les frais de contentieux par CHF 600.-. III. La mainlevée définitive de l'opposition formée par A.________ Sàrl au commandement de payer n° ccc de l'Office des poursuites de la Sarine, notifié à l'instance d'AXA Fondation LPP Suisse romande, est prononcée à hauteur de CHF 10'414.95, plus intérêts à 5% dès le</w:t>
      </w:r>
    </w:p>
    <w:p>
      <w:r>
        <w:rPr>
          <w:b/>
        </w:rPr>
        <w:t>E. 6</w:t>
      </w:r>
    </w:p>
    <w:p>
      <w:r>
        <w:t>août 2018, ainsi que pour les frais de contentieux par CHF 600.-. IV. Les frais de justice sont fixés à CHF 400.- et sont mis à la charge de A.________ Sàrl. V. Il n'est pas octroyé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