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275 vom 12. Februar 2020</w:t>
      </w:r>
    </w:p>
    <w:p>
      <w:r>
        <w:t>FR Kantonsgericht, 2020-02-12, FR</w:t>
      </w:r>
    </w:p>
    <w:p>
      <w:r>
        <w:rPr>
          <w:b/>
        </w:rPr>
        <w:t xml:space="preserve">Quelle: </w:t>
      </w:r>
      <w:r>
        <w:t>https://mcp.opencaselaw.ch/entscheid/fr_gerichte_608_2018_275</w:t>
      </w:r>
    </w:p>
    <w:p>
      <w:r>
        <w:t>FR: FR_GERICHTE 608 2018 275 du 12 février 2020</w:t>
      </w:r>
    </w:p>
    <w:p>
      <w:r>
        <w:t>IT: FR_GERICHTE 608 2018 275 del 12 febbraio 2020</w:t>
      </w:r>
    </w:p>
    <w:p>
      <w:pPr>
        <w:pStyle w:val="Heading2"/>
      </w:pPr>
      <w:r>
        <w:t>Regeste</w:t>
      </w:r>
    </w:p>
    <w:p>
      <w:r>
        <w:t>Arrêt de la IIe Cour des assurances sociales du Tribunal cantonal | Invalidenversicherung</w:t>
      </w:r>
    </w:p>
    <w:p>
      <w:pPr>
        <w:pStyle w:val="Heading2"/>
      </w:pPr>
      <w:r>
        <w:t>Erwägungen</w:t>
      </w:r>
    </w:p>
    <w:p>
      <w:r>
        <w:rPr>
          <w:b/>
        </w:rPr>
        <w:t>E. 19</w:t>
      </w:r>
    </w:p>
    <w:p>
      <w:r>
        <w:t>novembre 2013, elle a déposé une demande de prestations d'invalidité auprès de l'Office de l'assurance-invalidité du canton de Fribourg (ci-après OAI) en raison d'une maladie de Sudeck et d'autres troubles consécutifs à une opération du tunnel carpien à la main droite. Par décision du 3 octobre 2019, l'OAI lui a refusé l'octroi d'une rente d'invalidité notamment sur la base d'une expertise orthopédique et d'une expertise psychiatrique. Appliquant la méthode mixte, il a retenu un taux d'activité de 70% pour la partie lucrative et de 30% pour la tenue du ménage. Pour la partie lucrative, il est d'avis que l'assurée serait en mesure d'exercer une activité adaptée à plein temps avec une diminution de rendement de 25% dès le 1er janvier 2014. Jusqu'au 31 décembre 2017, elle aurait réalisé un revenu sans invalidité de CHF 53'851.- et un revenu avec invalidité de CHF 40'344.75, pour un degré d'invalidité de 25.08%. A partir du 1er janvier 2018, un revenu sans invalidité de CHF 77'776.25 et un revenu avec invalidité de CHF 40'788.55 ont été pris en compte pour un degré d'invalidité de 47.56%. S'agissant de la partie ménagère, l'enquête ménagère a conclut à un empêchement de 30.98%, et, en tenant compte de l'aide que peut apporter sa famille à hauteur de 30%, à un empêchement final de 0.98%. Ainsi, pour la période du 1er janvier 2014 au 31 décembre 2017, le degré d'invalidité s'élève à 17.85% (partie lucrative: part 70%, empêchement 25.08%, soit un degré d'invalidité de 17.56%; partie ménagère: part 30%, empêchement 0.98%, pour un degré d'invalidité de 0.29%). Dès le 1er janvier 2018, le degré d'invalidité est de 33.58% (partie lucrative: part 70%, empêchement 47.56%, soit un degré d'invalidité de 33.29%; partie ménagère: part 30%, empêchement 0.98%, pour un degré d'invalidité de 0.29%). B. A.________ interjette recours contre cette décision le 30 octobre 2018. Elle conclut, sous suite de frais et dépens, à l'octroi de trois quarts de rente d'invalidité dès le 1er janvier 2014. Elle remet en cause la réduction de 30% des empêchements dans la tenue du ménage, la valeur probante des deux expertises et la capacité de travail dans la partie lucrative. Elle estime en conséquence que son degré d'invalidité est de 61.8% du 1er janvier 2014 au 31 décembre 2017 (partie lucrative: part 70%, empêchement 75% [25% pour des motifs somatiques plus 50% pour des motifs psychiatriques], soit un degré d'invalidité de 52.50%, plus partie ménagère: part 30%, empêchement 30.98%, soit un degré d'invalidité de 9.3%) et de 67.40% dès le 1er janvier 2018 (partie lucrative: part 70%, empêchement 83%, soit un degré d'invalidité de 58.10%, plus partie ménagère: part 30%, empêchement 30.98%, soit un degré d'invalidité de 9.30%). Le 27 novembre 2018, la recourante s'est acquittée d'une avance de frais de CHF 800.-. Dans ses observations du 8 février 2019, l'autorité intimée conclut au rejet du recours. Après avoir constaté que la méthode mixte et la pondération retenue – 70% pour la partie lucrative et 30% pour la partie ménagère – ne sont pas contestées, elle renvoie aux expertises réalisées et aux avis du SMR s'agissant de l'exigibilité médicale et conteste formellement l'addition des incapacités de travail qu'elle estime par ailleurs contraire à la jurisprudence fédérale. Quant aux empêchements ménagers, ceux retenus par l'expert-psychiatre et ceux retenus par l'enquêteur se rejoignent. La réduction de 30% correspond quant à elle à l'aide que peut apporter la famille à raison d'environ 40 minutes par jour et par personne dans l'exécution des tâches suivantes: débarrasser la table,</w:t>
      </w:r>
    </w:p>
    <w:p>
      <w:r>
        <w:t>Tribunal cantonal TC Page 3 de 8 passer l'aspirateur, nettoyer la salle de bain, changer la literie, faire les courses, la lessive, le repassage, plier et ranger le linge. Invitée à se prononcer en tant qu'institution de prévoyance intéressée à laquelle la décision attaquée a été notifiée, B.________ n'a pas répondu dans le délai imparti.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De plus, le droit à la rente prend naissance au plus tôt à l'échéance d'une période de six mois à compter de la date à laquelle l'assuré a fait valoir son droit aux prestations (art. 29 al. 1 LAI).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2.3. Pour évaluer le taux d'invalidité, le revenu que l'assuré aurait pu obtenir s'il n'était pas invalide est comparé avec celui qu'il pourrait obtenir en exerçant l'activité qui peut raisonnablement</w:t>
      </w:r>
    </w:p>
    <w:p>
      <w:r>
        <w:t>Tribunal cantonal TC Page 4 de 8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mixte, la méthode spécifique et la méthode extraordinaire. La seconde est ici relevante. 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Jusqu'au 31 décembre 2017, la part de l'activité professionnelle dans l'ensemble des travaux de l'assuré est déterminée en comparant l'horaire de travail usuel dans la profession en question et l'horaire accompli par l'assuré valide. On calcule donc le rapport en pourcent entre ces deux valeurs (SVR 1996 IV n° 76 p. 221; RCC 1992 p. 136 consid. 1a et les références). Depuis le 1er janvier 2018,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2.4.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ATF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t>Tribunal cantonal TC Page 5 de 8 2.5.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(arrêts TF 9C_326/2018 du 5 octobre 2018, consid. 6.2; 9C_716/2014 du 19 février 2015, consid. 4.1;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2.6.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w:t>
      </w:r>
    </w:p>
    <w:p>
      <w:r>
        <w:t>Tribunal cantonal TC Page 6 de 8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3. La recourante ne remet pas en cause l'utilisation de la méthode mixte, la répartition des parts entre l'activité lucrative et la tenue du ménage, ainsi que les revenus de valide et d'invalide. Elle conteste la capacité de travail retenue ainsi que l'empêchement dans la partie ménagère, réduit de 30% pour tenir compte de l'aide apportée par la famille. 3.1. L'assurée relève tout d'abord que les deux experts ont chacun indiqué devoir rendre une expertise conjointe, mais qu'ils ont en fait rendu des expertises individuelles. Elle note également des contradictions dans l'expertise orthopédique, qui ne parle pas de l'incapacité ménagère. Quant à l'expertise psychiatrique, elle mentionne différentes capacités de travail dans une activité lucrative. La recourante estime que, l'expertise orthopédique attestant d'une pleine capacité dans une activité adaptée avec une diminution de rendement de 25% et l'expertise psychiatrique une capacité entière dans une activité adaptée avec une diminution de rendement de 50%, la diminution de rendement totale est de 75%. L'autorité intimée renvoie quant à elle aux expertises réalisées et aux avis du médecin SMR. Elle conteste par ailleurs l'addition des incapacités de travail, qui est contraire à la jurisprudence fédérale et notamment à l'arrêt TF 8C_793/2017 du 8 mai 2018. En l'espèce, il ressort de l'expertise orthopédique que l'expert, le Dr C.________, spécialiste en chirurgie orthopédique et traumatologie de l'appareil locomoteur, estime que seule une activité adaptée avec une diminution de rendement de 25% est exigible dès 6 mois après la cure de tunnel carpien, soit dès la mi-décembre 2013 (expertise du 15 juin 2016, p. 11; réponses aux questions 1.1 à 1.3, 2.1, 2.3, dossier OAI p. 185). En indiquant que l'assurée n'a pas repris d'activité professionnelle malgré le fait qu'une reprise à 50% lui a été prescrite par le Dr D.________, médecin orthopédiste, à partir du 16 octobre 2013 (rapport du 11 février 2014, dossier OAI p. 79), il ne fait que constater un état de fait donné à une période précise, alors que, de son point de vue, l'activité de caissière ou de vendeuse, qui n'est pas adaptée, ne peut être exigée en raison d'une baisse de rendement de 100% (expertise, réponses aux questions 1.1 à 1.4). Quoi qu'il en soit, le Dr D.________ se contredit en retenant également une incapacité totale de travailler du 11 décembre 2013 au 30 avril 2014 (rapport du 23 mai 2014, dossier OAI p. 89), de sorte que ses rapports n'ont pas pleine valeur probante sur cette question. Quant à l'exercice d'une activité adaptée, l'expert estime qu'il est possible à plein temps avec une diminution de rendement de 25% s'il respecte les limitations fonctionnelles sur le plan somatique, à partir de 6 mois après la cure de tunnel carpien (qui a eu lieu le 18 juin 2013; expertise p. 11, question 2.1). L'expert ne se détermine par contre pas sur l'accomplissement des activités ménagères. S'agissant de l'expertise psychiatrique du 30 mars 2017 (dossier OAI p. 196), elle indique qu'une activité simple de caissière ou de manutentionnaire est possible à 30% sur la base d'un 100% et que l'assurée peut assumer le ménage à 70% (expertise p. 34 et 39). Le Dr E.________, spécialiste en psychiatrie et psychothérapie, qui a réalisé cette expertise, a précisé le 31 mai 2017 la capacité dans le travail et dans le ménage (dossier OAI p. 272): l'activité habituelle de vendeuse peut être exercée trois demi-journées à 4h00 par jour par semaine, une activité adaptée est</w:t>
      </w:r>
    </w:p>
    <w:p>
      <w:r>
        <w:t>Tribunal cantonal TC Page 7 de 8 possible à 50% dans une activité légère avec une certaine autonomie dans le rythme et peu de contrainte hiérarchique, et les travaux ménagers sont possibles à plein temps avec une diminution de rendement de 30%. Ainsi, après conversion de trois demi-journées à 4h00 par semaine en pourcents d'une semaine à 41.7 heures (soit environ 28.8%), on constate que la capacité de travail dans l'activité de vendeuse indiquée dans le complément d'expertise est très proche de celle mentionnée dans l'expertise elle-même, celles dans une activité adaptée et dans le ménage attestées par cette même expertise n'étant pas contestées. A noter encore qu'il n'appartient pas au médecin de déterminer la répartition entre l'activité lucrative et les travaux ménagers. Il apparaît cependant qu'un avis consensuel de ces deux experts sur les capacités de travail ne figure pas au dossier, bien qu'il ait été demandé tant par le Dr C.________ (expertise p. 12, dossier OAI p. 186) que par le Dr E.________ (expertise psychiatrique p. 4, dossier OAI p. 199), mais au final non réclamé par l'autorité intimée (mandat concernant les expertises médicales, dossier OAI p. 162). De plus, la jurisprudence fédérale (arrêts TF 9C_461/2019 du 22 novembre 2019, consid. 4.1; 8C_793/2017 du 8 mai 2018, consid. 5.3) a admis que les diverses incapacités de travail partielles ne peuvent en général pas être simplement additionnées, cela pouvant suivant les circonstances du cas engendrer un résultat trop haut ou trop bas. Le fait de savoir si et dans quelle mesure les différentes incapacités résultant de différents troubles s'additionnent concerne une problématique et une évaluation spécifiquement médicales dont le tribunal ne peut s'écarter. Partant, le dossier doit être renvoyé à l'OAI pour la réalisation de l'avis consensuel demandé et détermination conjointe des experts sur l'incapacité de la recourante dans l'activité habituelle et dans une activité adaptée. Le consensus portera également sur l'effet des troubles orthopédiques et psychiatriques sur la tenue de son ménage, dès lors que l'expert-psychiatre atteste à lui seul déjà d'une diminution de rendement de 30% dans cette partie. Cette exception entre expressément dans le catalogue de celles qui permettent un renvoi (ATF 137 V 210). 3.2. La recourante conteste encore la réduction de 30% de l'empêchement dans la partie ménagère. Le dossier étant renvoyé à l'autorité intimée pour avis consensuel des experts notamment sur l'incapacité dans les travaux ménagers, il n'y a pas lieu de trancher ici cette question. La Cour rend toutefois l'OAI attentif au fait qu'elle a déjà discuté et rendu de nombreux arrêts à cet égard. 4. Au vu de ce qui précède, le recours est admis et la décision annulée. La cause est renvoyée à l'autorité intimée pour instruction complémentaire au sens de ce qui précède et nouvelle décision. La procédure n'étant pas gratuite, les frais de justice sont fixés à CHF 800.-. Ils sont mis intégralement à la charge l'autorité intimée. L'avance de frais du 27 novembre 2018 versée par l'assurée, par CHF 800.-, lui est remboursée. Ayant obtenu gain de cause, la recourante a droit à des dépens (art. 61 let. g LPGA et 137 al. 1 du code cantonal du 23 mai 1991 de procédure et de juridiction administrative [CPJA; RSF 150.1]), Son mandataire a produit sa liste de frais le 16 janvier 2020. Celle-ci correspond aux exigences du tarif applicable (art. 8 ss du tarif cantonal du 17 décembre 1991 des frais de procédure et des indemnités en matière de juridiction administrative; Tarif/JA; RSF 150.12), à l'exception du tarif des photocopies (facturées à CHF 0.50 au lieu de CHF 0.40) et des frais d'ouverture du dossier par CHF 50.-, lesquels dépassent le montant usuellement admis par la Cour de céans et qui sont fixés</w:t>
      </w:r>
    </w:p>
    <w:p>
      <w:r>
        <w:t>Tribunal cantonal TC Page 8 de 8 forfaitairement à CHF 20.-. Partant, il se justifie de fixer l'équitable indemnité à laquelle elle a droit à un total de CHF 2'891.25 à raison de 10h07 à CHF 250.-, soit à un montant de CHF 2'529.15, plus CHF 155.40 au titre de débours (y compris les photocopies), plus CHF 206.70 au titre de la TVA à 7,7%. Cette indemnité est mise intégralement à la charge de l'autorité intimée. la Cour arrête : I. Le recours est admis et la décision attaquée annulée. Partant, le dossier est renvoyé à l'autorité intimée pour instruction complémentaire dans le sens des considérants et nouvelle décision. II. Les frais de procédure, par CHF 800.-, sont mis à la charge de l'Office de l'assurance- invalidité du canton de Fribourg. III. L'avance de frais, par CHF 800.-, est restituée à A.________. IV. L'indemnité de partie allouée à A.________ pour ses frais de défense est fixée à CHF 2'684.55, débours compris, plus TVA à 7.7% par CHF 206.70, pour un total de CHF 2'891.25,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février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