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265 vom 11. September 2019</w:t>
      </w:r>
    </w:p>
    <w:p>
      <w:r>
        <w:t>FR Kantonsgericht, 2019-09-11, FR</w:t>
      </w:r>
    </w:p>
    <w:p>
      <w:r>
        <w:rPr>
          <w:b/>
        </w:rPr>
        <w:t xml:space="preserve">Quelle: </w:t>
      </w:r>
      <w:r>
        <w:t>https://mcp.opencaselaw.ch/entscheid/fr_gerichte_608_2018_265</w:t>
      </w:r>
    </w:p>
    <w:p>
      <w:r>
        <w:t>FR: FR_GERICHTE 608 2018 265 du 11 septembre 2019</w:t>
      </w:r>
    </w:p>
    <w:p>
      <w:r>
        <w:t>IT: FR_GERICHTE 608 2018 265 del 11 settembre 2019</w:t>
      </w:r>
    </w:p>
    <w:p>
      <w:pPr>
        <w:pStyle w:val="Heading2"/>
      </w:pPr>
      <w:r>
        <w:t>Regeste</w:t>
      </w:r>
    </w:p>
    <w:p>
      <w:r>
        <w:t>Arrêt de la IIe Cour des assurances sociales du Tribunal cantonal | Invalidenversicherung</w:t>
      </w:r>
    </w:p>
    <w:p>
      <w:pPr>
        <w:pStyle w:val="Heading2"/>
      </w:pPr>
      <w:r>
        <w:t>Erwägungen</w:t>
      </w:r>
    </w:p>
    <w:p>
      <w:r>
        <w:rPr>
          <w:b/>
        </w:rPr>
        <w:t>E. 22</w:t>
      </w:r>
    </w:p>
    <w:p>
      <w:r>
        <w:t>février 2019 par son néphrologue. Aucun autre échange d'écriture n'a été ordonné entre les parties.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et dûment représenté, le recours est recevable.</w:t>
      </w:r>
    </w:p>
    <w:p>
      <w:r>
        <w:t>Tribunal cantonal TC Page 3 de 7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2.2. D'après une jurisprudence constante, ce n'est pas l'atteinte à la santé en soi qui est assurée, ce sont bien plutôt les conséquences économiques de celle-ci, c'est-à-dire une incapacité de gain qui sera probablement permanente ou du moins de longue durée (ATF 127 V 294). Selon l'art. 28 al. 1 LAI, l'assuré a droit à une rente si sa capacité de gain ou sa capacité à 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trois-quarts de rente et lorsque le taux d’invalidité est de 70% au moins, il a droit à une rente entière. 2.3. L'art. 16 LPGA dispose que,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En d'autres termes,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(RCC 1985 p. 469).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ATF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 en fonction d'un horaire de 40 heures par semaine, le Tribunal fédéral a estimé qu'il fallait les rapporter à la durée hebdomadaire de travail durant l'année considérée (arrêt TF 9C_666/2009 du 26 février 2010 consid. 3.2). En outre,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w:t>
      </w:r>
    </w:p>
    <w:p>
      <w:r>
        <w:t>Tribunal cantonal TC Page 4 de 7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Une déduction globale maximale de 25% sur le salaire statistique permet de tenir compte des différents éléments qui peuvent influencer le revenu d'une activité lucrative (ATF 126 V 75 consid. 5b/aa-cc).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cette même raison (arrêt TF 8C_490/2011 précité consid. 4.2). 2.4.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in RCC 1991 p. 329; I 329/88 du 25 janvier 1989 consid. 4a, in RCC 1989 p. 328).</w:t>
      </w:r>
    </w:p>
    <w:p>
      <w:r>
        <w:t>Tribunal cantonal TC Page 5 de 7 2.5.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in VSI 1999 p. 246). 2.6.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voir aussi ATF 138 I 205 consid. 3.2). En outre,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125 V 351). Il y a en outre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3. En l'espèce, le recourant allègue tout d'abord ne pas pouvoir travailler à un taux supérieur à 50% en raison de l'état de fatigue chronique provoquée par ses troubles rénaux. L'autorité intimée relève quant à elle que l'assuré omet la capacité de travail dans une activité adaptée et qu'il ne remet pas en cause la valeur probante de l'expertise établissant cette capacité. 3.1. Il ressort du dossier médical que tant le Dr B.________, spécialiste en néphrologie et médecine interne générale et médecin traitant de l'assuré, que le Dr C.________, spécialiste en médecine interne générale, qui a réalisé l'expertise en médecine interne du 17 novembre 2017, retiennent comme diagnostic, avec influence sur la capacité de travail, un syndrome néphrotique avec glomérulonéphrite extra-membraneuse. Ils s'accordent également sur le fait que l'assuré souffre d'asthénie et de dyspnée à l'effort (rapports du Dr B.________ du 13 juillet 2017 et du 15 février 2018, dossier OAI p. 138 et 190; rapport d'expertise du 17 novembre 2017, dossier OAI</w:t>
      </w:r>
    </w:p>
    <w:p>
      <w:r>
        <w:t>Tribunal cantonal TC Page 6 de 7 p. 164). Par contre, leur opinion diverge quant à l'influence sur la capacité de travail des diagnostics d'embolie pulmonaire et d'hypertension artérielle, le premier estimant qu'une telle influence existe (rapport du Dr B.________ du 15 février 2018, dossier OAI p. 190), tandis que le second est d'avis que ces troubles n'ont aucun effet (expertise, dossier OAI p. 164). L'expert retient que l'activité habituelle est exigible à 50% au vu de l'évolution et de la progression de la maladie néphrologique et à 80% sans diminution de rendement dans une activité de type sédentaire, c'est-à-dire sans efforts soutenus, sans ports de charges (maximum 10 kg) et sans déplacements importants (rapport d'expertise, dossier OAI p. 164 et complément du 20 mars 2018, dossier OAI p. 222). L'expertise est probante: les points litigieux ont fait l'objet d'une étude circonstanciée, le rapport se fonde sur des examens complets, prend en considération les plaintes exprimées par le recourant et a été établi en pleine connaissance de l'anamnèse. La description du contexte médical et l'appréciation de la situation médicale sont claires et les conclusions médicales sont dûment motivées. L'expertise n'est pas non plus remise en cause par le rapport du 15 février 2018 du Dr B.________. En effet, celui-ci reprend les diagnostics posés le 17 novembre 2017 (dossier OAI p. 164) et, s'il développe les limitations fonctionnelles, celles-ci comportent des contradictions: il est tout d'abord indiqué que le port de charges est de 3 kg au maximum, puis qu'il n'est pas possible du tout, que la position debout est possible durant 4 heures par jour, puis seulement 3 heures, et enfin que l'alternance des positions est possible, puis qu'elle ne l'est plus du tout. Le Dr B.________ nie également l'exigibilité tant de l'activité habituelle que d'une activité adaptée, tout en indiquant pour chacune une capacité de travail de 50%, de sorte que l'on ignore s'il évoque l'activité habituelle ou une autre activité. Il n'y a dès lors pas lieu de s'écarter de l'expertise de médecine interne. Compte tenu du fait du devoir de l'assuré de tout mettre en œuvre pour réduire le dommage résultant de ses troubles de la santé (art. 7 LAI), il convient de retenir qu'une activité adaptée évitant les efforts soutenus, les ports de charges supérieurs à 10 kg et les déplacements importants, qui lui procurerait un revenu plus important que l'exercice de son activité habituelle à 50%, est exigible à 80% sans diminution de rendement. 3.2. L'assuré estime également nécessaire de procéder à un abattement de 10% sur le revenu d'invalide pour tenir compte de ses limitations fonctionnelles, de son âge et du fait qu'il ne peut travailler qu'à temps partiel. L'OAI ne s'est pas déterminé à ce sujet. Il ressort du complément d'expertise du 20 mars 2018 que la capacité de travail exigible de 80% dans une activité adaptée tient déjà compte des limitations fonctionnelles de l'assuré, de sorte qu'il n'y a pas lieu d'en tenir compte une seconde fois. En effet, le médecin explique le taux de 80 % en raison de l'exigence d'absence d'efforts soutenus, sans ports de charges et sans déplacements importants puis il reporte ces trois critères expressément également sous le chapitre des limitations fonctionnelles. De plus, ces limitations fonctionnelles ne sont pas très importantes et somme toutes usuelles. Elles permettent l'exercice d'un large panel d'activités légères. Enfin, le recourant était âgé de 59 ans au moment du complément d'expertise de mars 2018 du Dr C.________ fixant sa capacité résiduelle de travail de manière déterminante, de sorte qu'il n'avait pas encore atteint le seuil à partir duquel on peut parler d'âge avancé. Un abattement n'est dès lors pas justifié. Du reste, même s'il était fixé généreusement à 10%, le degré d'invalidité resterait largement inférieur à 40%. En effet, le revenu de valide et l'utilisation des salaires statistiques pour le calcul du revenu d'invalide ne sont ni contestés, ni</w:t>
      </w:r>
    </w:p>
    <w:p>
      <w:r>
        <w:t>Tribunal cantonal TC Page 7 de 7 problématiques. Par conséquent, en tenant compte d'un revenu de valide de CHF 65'651.35 et d'un revenu d'invalide de CHF 48'372.48 (CHF 67'184.- x 80% = CHF 53'747.20, moins 10% = CHF 48'372.48), le degré d'invalidité serait de 26.3%. 4. Au vu de ce qui précède, le recours est rejeté et la décision litigieuse confirmée. La procédure n'étant pas gratuite, les frais de procédure, par CHF 800.-, sont mis à la charge du recourant qui succombe. Ils sont compensés par l'avance de frais du même montant versée le 14 novembre 2018. Vu l'issue de la procédure, il n'est pas alloué de dépens. la Cour arrête : I. Le recours est rejeté. II. Les frais de procédure, par CHF 800.-, sont mis à la charge de A.________. Ils sont compensés par l'avance de frais versée le 14 novembre 2018.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