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215 vom 21. November 2019</w:t>
      </w:r>
    </w:p>
    <w:p>
      <w:r>
        <w:t>FR Kantonsgericht, 2019-11-21, FR</w:t>
      </w:r>
    </w:p>
    <w:p>
      <w:r>
        <w:rPr>
          <w:b/>
        </w:rPr>
        <w:t xml:space="preserve">Quelle: </w:t>
      </w:r>
      <w:r>
        <w:t>https://mcp.opencaselaw.ch/entscheid/fr_gerichte_608_2018_215</w:t>
      </w:r>
    </w:p>
    <w:p>
      <w:r>
        <w:t>FR: FR_GERICHTE 608 2018 215 du 21 novembre 2019</w:t>
      </w:r>
    </w:p>
    <w:p>
      <w:r>
        <w:t>IT: FR_GERICHTE 608 2018 215 del 21 novembre 2019</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Le recourant mineur, dûment représenté par ses parents, est en outre directement atteint par la décision querellée et a dès lors un intérêt digne de protection à ce que celle-ci soit, cas échéant, annulée ou modifiée. Partant, le recours est recevable.</w:t>
      </w:r>
    </w:p>
    <w:p>
      <w:r>
        <w:rPr>
          <w:b/>
        </w:rPr>
        <w:t>E. 2</w:t>
      </w:r>
    </w:p>
    <w:p>
      <w:r>
        <w:t>se lever, s'asseoir, se coucher;</w:t>
      </w:r>
    </w:p>
    <w:p>
      <w:r>
        <w:rPr>
          <w:b/>
        </w:rPr>
        <w:t>E. 2.1</w:t>
      </w:r>
    </w:p>
    <w:p>
      <w:r>
        <w:t>Selon l'art. 42 al. 1, 1ère phrase, de la loi du 19 juin 1959 sur l'assurance-invalidité (LAI; RS 831.20), les assurés impotents qui ont leur domicile et leur résidence habituelle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 L'impotence peut être grave, moyenne ou faible (art. 42 al. 2 LAI). L'art. 37 du règlement du 17 janvier 1961 sur l'assurance-invalidité (RAI; RS 831.201) règle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de l'Office fédéral des assurances sociales [ci-</w:t>
      </w:r>
    </w:p>
    <w:p>
      <w:r>
        <w:t>Tribunal cantonal TC Page 4 de 9 après: OFAS] sur l'invalidité et l'impotence dans l'assurance-invalidité [ci-après: CIIAI], dans sa version valable à partir du 1er janvier 2015, état au 1er janvier 2018, ch. 8009).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w:t>
      </w:r>
    </w:p>
    <w:p>
      <w:r>
        <w:rPr>
          <w:b/>
        </w:rPr>
        <w:t>E. 2.2</w:t>
      </w:r>
    </w:p>
    <w:p>
      <w:r>
        <w:t>Selon la jurisprudence (cf. ATF 124 II 247; 121 V 90 consid. 3a et les références citées), les actes ordinaires les plus importants se répartissent en six domaines: 1. se vêtir et se dévêtir;</w:t>
      </w:r>
    </w:p>
    <w:p>
      <w:r>
        <w:rPr>
          <w:b/>
        </w:rPr>
        <w:t>E. 2.3</w:t>
      </w:r>
    </w:p>
    <w:p>
      <w:r>
        <w:t>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(RCC 1986 p. 512, consid. 1a avec renvois), ou lorsqu’un tiers doit être présent toute la journée, sauf pendant de brèves interruptions, auprès de l’assuré parce qu’il ne peut être laissé seul (RCC 1989 p. 190, consid. 3b, 1980 p. 64, consid. 4b).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 l’état de l’assuré (arrêt TF 9C_608/2007 du 31 janvier 2008).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(CIIAI, ch. 8035). La surveillance personnelle permanente doit en outre être requise pendant une période prolongée, par opposition à une surveillance « passagère », par ex. suite à une maladie intercurrente (CIIAI, ch. 8036).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ATF 107 V 145; CIIAI, ch. 8037).</w:t>
      </w:r>
    </w:p>
    <w:p>
      <w:r>
        <w:rPr>
          <w:b/>
        </w:rPr>
        <w:t>E. 2.4</w:t>
      </w:r>
    </w:p>
    <w:p>
      <w:r>
        <w:t>Dans le cas des mineurs, seul est pris en considération le surcroît d'aide et de surveillance que le mineur handicapé nécessite par rapport à un mineur du même âge et en bonne santé (art. 37 al. 4 RAI). Afin de faciliter l'évaluation du besoin d'assistance d'autrui, l'OFAS a établi des recommandations concernant l'évaluation de l'impotence déterminante chez les mineurs (annexe III à la CIIAI; cf. arrêts TF 9C 360/2014 du 14 octobre 2014 consid. 4.5 et 9C 688/2014 du 1er juin 2015 consid. 3.5). Lorsqu'un mineur, en raison d'une atteinte à la santé, a besoin d'une surveillance permanente, celle-ci correspond à un surcroît d'aide de deux heures. Une surveillance particulièrement intense liée à l'atteinte à la santé est équivalente à quatre heures (art. 39 al. 3 RAI). La notion de "soins intenses" de l'art. 42ter al. 3 LAI comprend non seulement le surcroît de temps consacré au traitement et aux soins de base évoqué à l'art. 39 al. 2 RAI, mais aussi la surveillance permanente</w:t>
      </w:r>
    </w:p>
    <w:p>
      <w:r>
        <w:t>Tribunal cantonal TC Page 6 de 9 mentionnée à l'art. 39 al. 3 RAI (cf. arrêt TF 9C_666/2013 du 25 février 2014 consid 8.2 in SVR 2014 IV n° 14 p. 55). La surveillance ne se confond ni avec l'aide apportée pour réaliser les actes ordinaires de la vie ni avec le surcroît de temps consacré au traitement et aux soins de base, mais constitue une surveillance 24h/24h, nécessitée par l'invalidité soit pour une raison médicale (p.ex. risques de crises d'épilepsie) soit en raison d'un handicap mental particulier ou en cas d'autisme (cf. arrêts TF 9C_666/2013 du 25 février 2014 consid 8.2 in SVR 2014 IV n° 14 p. 55; 9C_608/2007 du 31 janvier 2008 consid. 2.2.1). La jurisprudence interprète la notion de surveillance personnelle permanente au sens de l'art. 37 al. 3 let. b RAI de manière restrictive. Ainsi, le Tribunal fédéral a admis que cette condition n'était pas remplie pour une assurée dépendante d'autrui en cas de malaise, mais encore en mesure de se prendre en charge seule dans d'autres circonstances et pour laquelle seule une surveillance ponctuelle (visite, téléphone) suffisait (arrêt TF I 43/02 du 30 septembre 2002 consid. 3). Avant l’âge de 6 ans, une surveillance personnelle ne doit en règle générale pas être prise en considération. Mais en fonction de la situation et du degré de gravité, on peut reconnaître un besoin de surveillance pour les enfants dès 4 ans déjà lorsqu’ils sont sujets à des crises d’épilepsie impossibles à prévenir par des moyens médicamenteux ou qu’ils présentent un autisme infantile (annexe III à la CIIAI, p. 214). L'ampleur des troubles autistiques peut fortement varier d'un cas à l'autre de sorte qu'il n'y aura pas à chaque fois un besoin de surveillance particulièrement intense. En cas de doute sur le besoin de surveillance lié au handicap, il y a lieu de demander une prise de position du médecin traitant et, cas échéant, de l'école fréquentée par l'assuré (arrêts TF 9C_666/2013 du 25 février 2014 consid. 8.2.2.2; 8C_562/2008 du 1er décembre 2008 consid. 2.3 et 9; I 567/06 du 5 mars 2007 consid. 6.3-4).</w:t>
      </w:r>
    </w:p>
    <w:p>
      <w:r>
        <w:rPr>
          <w:b/>
        </w:rPr>
        <w:t>E. 2.5</w:t>
      </w:r>
    </w:p>
    <w:p>
      <w:r>
        <w:t>Pour se déterminer sur l'existence d'une impotence, l'autorité doit disposer d'informations venant de médecins et d'autres collaborateurs spécialisés (AHI 2000 p. 317),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w:t>
      </w:r>
    </w:p>
    <w:p>
      <w:r>
        <w:rPr>
          <w:b/>
        </w:rPr>
        <w:t>E. 3</w:t>
      </w:r>
    </w:p>
    <w:p>
      <w:r>
        <w:t>manger;</w:t>
      </w:r>
    </w:p>
    <w:p>
      <w:r>
        <w:rPr>
          <w:b/>
        </w:rPr>
        <w:t>E. 3.1</w:t>
      </w:r>
    </w:p>
    <w:p>
      <w:r>
        <w:t>Sur le formulaire rempli en date du 25 octobre 2016 dans le cadre de la révision d'office, les parents du recourant ont indiqué que leur fils avait besoin d'une surveillance personnelle et ont précisé qu'il avait "besoin d'être constamment avec un adulte, depuis toujours". Ils ont ajouté que cette surveillance était effectuée par eux-mêmes, majoritairement par la mère (cf. dossier OAI, p. 477). Dans le cadre de l'enquête domiciliaire réalisée le 30 août 2017, l'enquêteur a considéré en revanche que le recourant n'avait pas besoin d'une surveillance personnelle permanente en précisant "qu'il n'y a pas de mises en danger de soi-même; toutefois sa mère ne le laisse pas plus d'une demi-heure seul" (cf. dossier OAI, p. 485). Comme le relève l'autorité intimée, les parents n'ont pas soulevé l'argument du besoin de surveillance personnelle permanente dans leurs objections du 26 septembre 2017, de sorte que l'enquêteur ne s'est pas non plus prononcé sur ce point dans sa prise de position du 15 janvier 2018. En revanche, dans le recours, les parents du recourant font valoir que le handicap de leur fils ne lui permet pas de rester seul à la maison et que, par rapport à des enfants du même âge (13 ans) qui peuvent rester seuls quelques heures par jour, après l'école par exemple, une tierce personne doit être en permanence à proximité pour le surveiller, l'aider dans certaines tâches ou réparer les</w:t>
      </w:r>
    </w:p>
    <w:p>
      <w:r>
        <w:t>Tribunal cantonal TC Page 8 de 9 préjudices dus aux maladresses ou comportements provoqués par son handicap. Ils précisent qu'il ne peut pas être laissé seul sans risque de commettre des actes pouvant lui porter atteinte et que l'absence des deux parents, même pour une courte durée, nécessite l'organisation d'une présence. Ils ajoutent enfin que la nécessité de surveillance est bien sûr plus importante à l'extérieur de la maison où leur fils peut également se mettre en danger dans un environnement inconnu. Dans ses observations du 31 octobre 2018, l'autorité intimée répond que la notion de mise en danger contre lui-même ou des tiers n'est pas remplie, que la mère du recourant déclare elle- même qu'elle peut le laisser une demi-heure seul et qu'il lui est arrivé également de parcourir seul le chemin de la maison à l'école.</w:t>
      </w:r>
    </w:p>
    <w:p>
      <w:r>
        <w:rPr>
          <w:b/>
        </w:rPr>
        <w:t>E. 3.2</w:t>
      </w:r>
    </w:p>
    <w:p>
      <w:r>
        <w:t>Amenée à statuer sur la question litigieuse, la Cour de céans constate que celle-ci n'est pas suffisamment instruite pour lui permettre de trancher. En effet, si le besoin de surveillance à l'extérieur invoqué par les parents a déjà été pris en considération en tant qu’aide pour l'acte ordinaire de la vie de "se déplacer" et ne peut dès lors pas entrer à nouveau en ligne de compte lorsqu’il s’agit d’évaluer le besoin de surveillance personnelle permanente, tel n'est pas le cas de la situation qui prévaut à l'intérieur du logement, de l'école ou d'un autre lieu. A cet égard, il faut reconnaître avec le recourant que cet aspect de la surveillance personnelle permanente n'a pas été examiné en détails, alors que, dans le cas particulier touchant le droit à une allocation de degré moyen ou faible, cette question revêt une importance particulière, comme mentionné par la jurisprudence et dans la Circulaire de l'OFAS. Cela est d'autant plus justifié que le handicap présenté par le recourant, soit l'autisme, est souvent cité en exemple par la jurisprudence en lien avec le besoin de surveillance personnelle permanente ou particulièrement intense (cf. arrêt TF 9C_350/2014 du 11 septembre 2014 consid. 6.2 et les références citées). Dans le cadre de l'instruction, l'enquêteur aurait dû investiguer cette question de façon plus poussée. Par la suite, constatant qu'il y avait une contradiction entre l'avis des parents et celui de l'enquêteur, l'autorité intimée aurait dû demander des renseignements complémentaires. En effet, selon la jurisprudence précitée, en cas de doute sur le besoin de surveillance lié au handicap, il y a lieu de demander une prise de position du médecin traitant et, cas échéant, de l'école fréquentée par l'assuré. Or, dans le cas d'espèce, dans le cadre de la deuxième procédure de révision, le seul rapport à disposition est un rapport du 4 décembre 2017 de l'ergothérapeute qui suit le recourant (dossier OAI, p. 509). Or, ce document était destiné à soutenir la demande de poursuite de la prise en charge en ergothérapie et ne donne donc aucun renseignement précis sur le besoin éventuel d'une surveillance permanente par un adulte. En outre, le dossier ne contient aucun rapport médical ni prise de position de l'école. Pourtant, l'autorité intimée avait bien connaissance de l'école fréquentée par le recourant, soit l'école publique de D.________ avec le soutien du Service de l'enseignement spécialisé et des mesures d'aide (SESAM), et des médecins traitants du recourant, soit le Dr E.________, spécialiste en pédiatrie, consulté jusqu'au début 2017, et le Dr F.________, médecin généraliste, consulté depuis la fin de l'année scolaire 2017. En outre, lors de la première procédure de révision, l'avis de la Dresse G.________, spécialiste en psychiatrie et psychothérapie d'enfants et d'adolescents auprès de H.________, laquelle suivait déjà le recourant lors de la demande initiale d'allocation pour impotent, avait été requis. A cet égard, même si les parents du recourant n'ont</w:t>
      </w:r>
    </w:p>
    <w:p>
      <w:r>
        <w:t>Tribunal cantonal TC Page 9 de 9 pas mentionné son nom dans le formulaire et lors de l'enquête domiciliaire dans le cadre de la deuxième révision, une note téléphonique du 7 mai 2018 figure au dossier (dossier OAI, p. 525) et permet d'en conclure que H.________ suit toujours le recourant. Ainsi, l'autorité intimée aurait dû demander un rapport médical aux différents médecins (généralistes et spécialistes) qui suivent le recourant. Pour être complet, une prise de position des enseignants de l'enfant aurait également dû être requise. Il résulte de ce qui précède que le recours doit être admis et la décision querellée annulée. La cause est renvoyée à l'autorité intimée afin qu'elle demande aux différents médecins susmentionnés et aux enseignants des avis circonstanciés sur la question du besoin éventuel de surveillance personnelle permanente du recourant et qu'elle rende ensuite une nouvelle décision. Les frais de procédure, par CHF 400.-, sont mis à la charge de l'autorité intimée qui succombe. Partant, l'avance de frais du même montant, versée par le recourant, doit lui être entièrement restituée. la Cour arrête : I. Le recours est admis. Partant, la décision querellée est annulée et la cause renvoyée à l'Office de l'assurance- invalidité du canton de Fribourg pour instruction complémentaire au sens des considérants et nouvelle décision. II. Les frais de procédure, par CHF 400.-, sont mis à la charge de l'Office de l'assurance- invalidité du canton de Fribourg. III. L'avance de frais, par CHF 400.-, est entièrement restituée à A.________.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2019/meg Le Président : La Greffière-rapporteure :</w:t>
      </w:r>
    </w:p>
    <w:p>
      <w:r>
        <w:rPr>
          <w:b/>
        </w:rPr>
        <w:t>E. 4</w:t>
      </w:r>
    </w:p>
    <w:p>
      <w:r>
        <w:t>faire sa toilette (soins du corps);</w:t>
      </w:r>
    </w:p>
    <w:p>
      <w:r>
        <w:rPr>
          <w:b/>
        </w:rPr>
        <w:t>E. 5</w:t>
      </w:r>
    </w:p>
    <w:p>
      <w:r>
        <w:t>aller aux toilettes;</w:t>
      </w:r>
    </w:p>
    <w:p>
      <w:r>
        <w:rPr>
          <w:b/>
        </w:rPr>
        <w:t>E. 6</w:t>
      </w:r>
    </w:p>
    <w:p>
      <w:r>
        <w:t>se déplacer (dans l'appartement,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(RCC 1983 p. 73). Les actes ordinaires de la vie déterminants pour l'octroi de l'allocation pour impotent ne consistent pas dans la tenue du ménage proprement dite (ATF 117 V 27 consid. 4b).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L'aide est importante lorsque la personne assurée ne peut plus accomplir au moins une fonction partielle d'un acte ordinaire de la vie ou qu'elle ne peut le faire qu'au prix d'un effort excessif ou d'une manière inhabituelle ou que, en raison de son état psychique, il ne peut l’accomplir sans incitation particulière (CIIAI, ch. 8026). Selon la jurisprudence, de manière générale, on ne saurait réputer apte à un acte ordinaire de la vie l'assuré qui ne peut l'accomplir que d'une façon non conforme aux mœurs usuelles (ATF 106 V 159 consid. 2b).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w:t>
      </w:r>
    </w:p>
    <w:p>
      <w:r>
        <w:t>Tribunal cantonal TC Page 5 de 9 traiter différemment un assuré qui n'est plus en mesure d'accomplir une fonction (partielle) en tant que telle ou ne peut l'exécuter que d'une manière inhabituelle et un assuré qui peut encore accomplir cet acte, mais n'en tire aucune utilité (ATF 117 V 151 consid. 3b).</w:t>
      </w:r>
    </w:p>
    <w:p>
      <w:r>
        <w:rPr>
          <w:b/>
        </w:rPr>
        <w:t>E. 7</w:t>
      </w:r>
    </w:p>
    <w:p>
      <w:r>
        <w:t>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w:t>
      </w:r>
    </w:p>
    <w:p>
      <w:r>
        <w:t>Tribunal cantonal TC Page 7 de 9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8133).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3. Est en l'espèce litigieuse la question de savoir si le recourant a besoin d'une surveillance personnelle permanente au sens de l'art. 37 al. 2 let. b RAI.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