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201 vom 8. Juli 2019</w:t>
      </w:r>
    </w:p>
    <w:p>
      <w:r>
        <w:t>FR Kantonsgericht, 2019-07-08, FR</w:t>
      </w:r>
    </w:p>
    <w:p>
      <w:r>
        <w:rPr>
          <w:b/>
        </w:rPr>
        <w:t xml:space="preserve">Quelle: </w:t>
      </w:r>
      <w:r>
        <w:t>https://mcp.opencaselaw.ch/entscheid/fr_gerichte_608_2018_201</w:t>
      </w:r>
    </w:p>
    <w:p>
      <w:r>
        <w:t>FR: FR_GERICHTE 608 2018 201 du 8 juillet 2019</w:t>
      </w:r>
    </w:p>
    <w:p>
      <w:r>
        <w:t>IT: FR_GERICHTE 608 2018 201 del 8 luglio 2019</w:t>
      </w:r>
    </w:p>
    <w:p>
      <w:pPr>
        <w:pStyle w:val="Heading2"/>
      </w:pPr>
      <w:r>
        <w:t>Regeste</w:t>
      </w:r>
    </w:p>
    <w:p>
      <w:r>
        <w:t>Arrêt de la IIe Cour des assurances sociales du Tribunal cantonal | Alters- und Hinterlassenenversicherung</w:t>
      </w:r>
    </w:p>
    <w:p>
      <w:pPr>
        <w:pStyle w:val="Heading2"/>
      </w:pPr>
      <w:r>
        <w:t>Erwägungen</w:t>
      </w:r>
    </w:p>
    <w:p>
      <w:r>
        <w:rPr>
          <w:b/>
        </w:rPr>
        <w:t>E. 24</w:t>
      </w:r>
    </w:p>
    <w:p>
      <w:r>
        <w:t>juin suivant, E.________ Sàrl annonce que l'assurée travaillait pour elle à la demande, sans contrat de travail, mais que des cotisations AVS/AI/AC étaient néanmoins retenues. Le 24 juin 2019, la Caisse a produit, sur requête du délégué à l'instruction, un exemplaire de l'extrait de compte individuel AVS de la recourante, ce dont cette dernière a été informée. Aucun autre échange d'écritures n'a été ordonné entre les parties. Il sera fait état des arguments, développés par les parties à l'appui de leurs conclusions respectives, dans les considérants de droit du présent arrêt, pour autant que cela soit utile à la solution du litige. en droit 1. Interjeté en temps utile et dans les formes légales par une assurée directement touchée par la décision attaquée, le recours est recevable.</w:t>
      </w:r>
    </w:p>
    <w:p>
      <w:r>
        <w:t>Tribunal cantonal TC Page 4 de 7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du 20 décembre 1946 sur l'assurance-vieillesse et survivants [LAVS; RS 831.10], art. 6 ss du règlement du 31 octobre 1947 sur l'assurance-vieillesse et survivants [RAVS; RS 831.101]; cf. arrêt TF 9C_213/2016 du 17 octobre 2016 consid. 3 et les références).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(cf. arrêt TF 9C_213/2016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TF 9C_213/2016 précité consid. 3.3).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w:t>
      </w:r>
    </w:p>
    <w:p>
      <w:r>
        <w:t>Tribunal cantonal TC Page 5 de 7 investissements importants ou de faire appel à du personnel. En pareilles circonstances, il convient d'accorder moins d'importance au critère du risque économique de l'entrepreneur et davantage à celui de l'indépendance économique et organisationnelle (arrêt TF 9C_213/2016 précité consid. 3.4). On ajoutera (cf. arrêt TF 9C_717/2015 du 22 mars 2016 consid. 2 et les références) que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Et qu'une personne assurée peut exercer plusieurs activités lucratives en parallèle et être assujettie simultanément comme salariée et comme indépendante; lorsque cela est le cas, il y a lieu de se demander pour chacun des revenus réalisés par la personne assurée si celui-ci provient d'une activité salariée ou d'une activité indépendante (arrêt TF précité consid. 4.1 et les références). Enfin,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les indications en faveur d'une activité indépendante doivent alors être clairement prépondérantes (cf. arrêt TF 9C_1062/2010 du 5 juillet 2011 consid. 7.4 et les références citées). 3. Est en l'espèce litigieuse la qualification, au regard de la LAVS, de l'activité professionnelle de la recourante et, partant, le statut d'affiliée de cette dernière. 3.1. Dans les questionnaires qu'elle a remplis à l'intention de l'autorité intimée, la recourante indique qu'elle n'occupe pas de personnel et qu'elle ne supporte pas un éventuel risque à l'encaissement, ni de pertes éventuelles. Elle mentionne également qu'elle ne répond pas des défauts de fabrication, d'erreurs de livraison ou de service négligé. Elle confirme être tenue d'observer des instructions (présence obligatoire et rapport de travail). S'agissant du risque d'entrepreneur, elle mentionne uniquement celui de perdre des clients. Concernant la rétribution, elle mentionne un salaire mensuel et à l'heure, selon mandat. Ces éléments vont ainsi plutôt dans le sens d'une activité dépendante. D'autres éléments correspondent en revanche plutôt à une activité indépendante. Ainsi, la recourante répond qu'elle fait elle-même les offres et la facturation. Elle indique encore qu'elle dispose d'un propre local d'entreprise et qu'elle ne travaille en principe pas dans les locaux des clients. Elle ajoute agir en son propre nom et avoir conclu une assurance en lien avec son activité (RC privée). Elle relève également qu'il n'existe pas d'interdiction de faire concurrence, que le matériel servant à l'exécution de son travail est à sa charge, tout comme les frais d'entretien des moyens d'exploitation et les frais généraux. Dans la mesure où il existe des caractéristiques appartenant aux deux genres d'activités, il faut se demander, conformément à la jurisprudence fédérale, quels éléments sont prédominants. 3.2. Il convient tout d'abord de relever que, même si les motifs ayant conduit l'assurée à entreprendre une telle activité sont louables, il n'en demeure pas moins qu'ils n'ont pas d'influence</w:t>
      </w:r>
    </w:p>
    <w:p>
      <w:r>
        <w:t>Tribunal cantonal TC Page 6 de 7 sur la qualification de celle-ci. Cela étant dit, la Cour de céans relève divers éléments qui incitent fortement à douter de l'existence d'une activité indépendante. Tout d'abord, le fait, non contesté, que la recourante a poursuivi une activité précédemment exercée sous forme salariée. Il ressort du curriculum vitae de celle-ci (pièce 3 du dossier de la Caisse), qu'elle a œuvré pour le compte de l'Association D.________ depuis 2005, pour C.________ Sàrl depuis septembre 2016 et pour E.________ Sàrl à partir du 1er septembre 2017. Par ailleurs, et surtout, l'extrait de compte individuel AVS, dont la production a été requise par le délégué à l'instruction, confirme le caractère salarié de l'activité déployée pour l'Association D.________ dès 2013. Dès lors, les explications que la recourante a fournies au cours de l'échange d'écritures, consistant à invoquer la nature quasi-bénévole de cette activité (faible nombre d'heures rémunérées à un tarif associatif), ne peuvent être suivies. Ainsi que le relève la Caisse, elles sont d'ailleurs démenties par le contenu de la lettre de résiliation remise par l'assurée à l'appui de ses contre-observations: l'en-tête titré "Résiliation du contrat de travail" ainsi que la mention du fait qu'"un salaire mensuel fixe pour votre travail à 50%" ne soit plus finançable dès janvier 2017, constituent des signes décisifs en faveur de l'existence de véritables rapports de travail salariés. Les considérations qui précèdent peuvent être reprises concernant C.________ Sàrl: là encore, la lettre de résiliation datée du 21 juillet 2018, déposée à l'appui du recours, fait explicitement référence à un contrat de travail. La Cour relève au demeurant que la recourante n'a pas contesté avoir antérieurement travaillé en tant que salariée pour cette société; l'extrait de compte AVS confirme l'existence de revenus soumis à cotisation de 2016 à 2018. Le constat est le même s'agissant de E.________ Sàrl, même si la recourante n'a travaillé que durant une période plus courte pour cet employeur. De ce point de vue, la simple transformation de rapports de travail salariés en rapports de mandats, avec les trois mêmes employeurs, mérite d'être soumise à des conditions particulièrement strictes (cf. supra consid. 2 in fine). La Cour relève en outre que la notion de risque d'entrepreneur, également invoquée par la recourante pour conclure à l'existence d'une activité indépendante, doit être relativisée en l'espèce. Sans dénier le fait que l'assurée a procédé elle-même à certains investissements, on doit néanmoins retenir que ceux-ci demeurent relativement modestes: elle se contente en effet d'occuper une pièce de son habitation et ses frais se limitent essentiellement à du matériel bureautique, en lien avec une activité de secrétariat et de comptabilité. Globalement, de telles dépenses ne représentent qu'un risque très modéré (absence de location de surfaces tierces, pas de personnel à charge, absence de stock, pas de véhicule d'entreprise). La recourante mentionne certes, au titre du risque d'entrepreneur, celui de perdre ses clients et, par là-même, sa source de revenus; mais une telle éventualité est en définitive inhérente à toute activité professionnelle, un employé salarié étant également susceptible de voir son contrat de travail résilié par l'employeur. Dans ce contexte, la conclusion d'une assurance RC privée et/ou d'une perte de gain, au demeurant non documentée, représente tout au plus un indice secondaire de l'existence d'une une activité indépendante, dont le poids est largement contrebalancé par les arguments énumérés ci-dessus. L'absence de visibilité sur Internet va d'ailleurs dans le même sens, la présence d'une plaquette publicitaire (pièce 8 du dossier de la Caisse) n'étant à elle seule pas déterminante. Dès lors que les éléments donnant à conclure à l'existence d'une activité salariée sont nettement prédominants, c'est en l'espèce à juste titre que la Caisse a considéré que l'activité de la</w:t>
      </w:r>
    </w:p>
    <w:p>
      <w:r>
        <w:t>Tribunal cantonal TC Page 7 de 7 recourante déploie pour le compte de C.________ Sàrl, de l'Association D.________ et de E.________ Sàrl est une activité dépendante. La problématique liée à la durée du mandat peut dès lors souffrir de rester indécise. 4. Le recours, mal fondé, doit par conséquent être rejeté et la décision sur opposition attaquée confirmée. Conformément au principe de la gratuité de la procédure prévalant en la matière (art. 1 al. 1 LAVS et art. 61 al. 1 let. a LPGA),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