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192 vom 13. März 2019</w:t>
      </w:r>
    </w:p>
    <w:p>
      <w:r>
        <w:t>FR Kantonsgericht, 2019-03-13, FR</w:t>
      </w:r>
    </w:p>
    <w:p>
      <w:r>
        <w:rPr>
          <w:b/>
        </w:rPr>
        <w:t xml:space="preserve">Quelle: </w:t>
      </w:r>
      <w:r>
        <w:t>https://mcp.opencaselaw.ch/entscheid/fr_gerichte_608_2018_192</w:t>
      </w:r>
    </w:p>
    <w:p>
      <w:r>
        <w:t>FR: FR_GERICHTE 608 2018 192 du 13 mars 2019</w:t>
      </w:r>
    </w:p>
    <w:p>
      <w:r>
        <w:t>IT: FR_GERICHTE 608 2018 192 del 13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est recevable. Bien qu'interjeté auprès de l'autorité intimée, le recours l'a été en temps utile et dans les formes légales. La recourante, dûment représentée, est en outre directement atteinte par la décision querellée et a dès lors un intérêt digne de protection à ce qu'elle soit, cas échéant, annulée ou modifiée.</w:t>
      </w:r>
    </w:p>
    <w:p>
      <w:r>
        <w:rPr>
          <w:b/>
        </w:rPr>
        <w:t>E. 2</w:t>
      </w:r>
    </w:p>
    <w:p>
      <w:r>
        <w:t>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RAI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w:t>
      </w:r>
    </w:p>
    <w:p>
      <w:r>
        <w:t>Tribunal cantonal TC Page 5 de 9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2.3</w:t>
      </w:r>
    </w:p>
    <w:p>
      <w:r>
        <w:t>L'évaluation du taux d'invalidité se fait sur la base de quatre méthodes dont l'application dépend du statut du bénéficiaire potentiel de la rente, la méthode ordinaire, la méthode spécifique, la méthode mixte et la méthode extraordinaire. 2.3.1.La méthode ordinaire d’évaluation du taux d’invalidité (art. 28a al. 1 LAI) s'applique aux assurés qui exerçaient une activité lucrative à plein temps sans 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t>Tribunal cantonal TC Page 4 de 9 2.3.2.L'invalidité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2.3.3.Lorsque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La méthode mixte d'évaluation du taux d'invalidité a été souvent remise en cause, y compris devant la Cour Européenne des Droits de l'Homme (CourEDH). Dans son jugement du</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La jurisprudence attire l'attention sur la relation de confiance qui s'établit immanquablement entre le médecin traitant et son patient (arrêt TF 9C_843/2007 du 28 juillet 2008 consid. 3). Il y a, en particulier,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3.3</w:t>
      </w:r>
    </w:p>
    <w:p>
      <w:r>
        <w:t>L'art. 69 al. 2 RAI prévoit, comme mesure d'instruction, la possibilité pour l'autorité de réaliser une visite domiciliaire. Telle est la possibilité, notamment, lorsqu'il s'agit d'assurés qui s'occupent du ménage (cf. CIIAI, n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w:t>
      </w:r>
    </w:p>
    <w:p>
      <w:r>
        <w:t>Tribunal cantonal TC Page 6 de 9 relevées sur place. Lorsque le rapport constitue une base fiable de décision, le juge ne saurait remettre en cause l'appréciation de l'auteur de l'enquête que s'il est évident qu'elle repose sur des erreurs manifestes (ATF 128 V 93).</w:t>
      </w:r>
    </w:p>
    <w:p>
      <w:r>
        <w:rPr>
          <w:b/>
        </w:rPr>
        <w:t>E. 4</w:t>
      </w:r>
    </w:p>
    <w:p>
      <w:r>
        <w:t>En l'espèce, la recourante ne remet pas en cause le choix de la méthode mixte. Elle conteste cependant la répartition entre activité lucrative (60%) et tâches ménagères (40%), alléguant qu'elle travaillerait selon un partage des tâches de 80% d'activité lucrative et de 20% d'activité ménagère. Il ressort des pièces à disposition de la Cour que l'assurée travaillait initialement à un taux de 80%, soit depuis 1996. Cependant, en 2003, année de naissance de son premier enfant, elle a réduit son taux à 40%-50% tout en continuant de travailler pour le même employeur (procès-verbal du 21 décembre 2010, dossier OAI, p. 20; cf. ég. bordereau recours, pièce 4). Dans le questionnaire ménager du 30 février 2010, elle signalait que, en santé, elle travaillerait en tant qu'assistante médicale à 50% (dossier OAI, p. 33), affirmation réitérée lors de l'enquête ménagère du 29 août 2011 (dossier OAI, p. 109). Ces affirmations concordantes ont conduit l'OAI à retenir un partage des tâches de 50% lucratif et 50% ménager dans sa décision du 2 décembre 2011 (dossier OAI, p. 144 et 159). Dans le questionnaire de révision de rente d'invalidité du 14 octobre 2013, l'assurée a indiqué que, sans handicap, elle travaillerait à un taux de 50%-80% pour subvenir aux besoins de son ménage (dossier OAI, p. 166). En outre, lors de l'enquête domiciliaire du 25 août 2017, la personne chargée de l'enquête relève ce qui suit: "Ce jour elle me dit que vu que ses enfants sont maintenant des adolescents elle aurait augmenté son temps de travail progressivement pour atteindre éventuellement les 80% qu'elle avait au début de son activité professionnelle post- apprentissage. Toutefois elle a de la peine à se décider, elle est sûre qu'elle ne travaillerait pas à plein temps. En fin de compte elle dit que 3 jours par semaine serait correct et validons donc 60%" (dossier OAI, p. 251). C'est ce dernier taux qui a conduit l'autorité à retenir un partage des tâches entre activité lucrative et tâches ménages de 60%/40% dans sa décision du 17 juillet 2018 (dossier OAI, p. 281). Force est de constater que l'assurée n'a déclaré que tardivement, soit après avoir interjeté recours, que, sans atteinte à la santé, elle travaillerait à 80%. Auparavant, elle donnait soit une plage entre 50% et 80%, soit un taux de 60%. Ce dernier taux a été indiqué lors d'une discussion avec la personne chargée de l'enquête domiciliaire, après une certaine réflexion, lors de laquelle elle a procédé à une transformation en jours de travail ("3 jours par semaine"). A ce stade, on rappelle que,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(cf. ATF 121 V 47 consid. 2a; 115 V 143 consid. 8c). Il n'est, en outre, pas invraisemblable qu'un conjoint travaille à un taux de 60% dans une famille dont le plus jeune enfant est âgé de 13 ans, soit un âge où subsiste encore un certain besoin d'assistance, et dont l'autre conjoint travaille à temps plein. Dans ces circonstances, il est vraisemblable que, même en santé, la recourante aurait maintenu un taux réduit, pour atteindre vraisemblablement un taux de 60%. Ce taux devra, cependant, être</w:t>
      </w:r>
    </w:p>
    <w:p>
      <w:r>
        <w:t>Tribunal cantonal TC Page 7 de 9 réévalué dans l'avenir pour tenir compte de l'âge des enfants – dont l'indépendance augmente en même temps que leur âge – et des nouvelles déclarations de l'assurée, que l'on ne saurait ignorer.</w:t>
      </w:r>
    </w:p>
    <w:p>
      <w:r>
        <w:rPr>
          <w:b/>
        </w:rPr>
        <w:t>E. 5</w:t>
      </w:r>
    </w:p>
    <w:p>
      <w:r>
        <w:t>Compte tenu de ce qui précède, il convient de calculer le degré d'invalidité de la recourante en tenant compte d'un partage des tâches de 60% pour la part réservée à l'activité lucrative et de 40% pour la tenue du ménage. L'existence d'une incapacité de travail totale dans la partie dite "activité lucrative" n'est pas contestée par les parties, ce qui n'apparaît pas devoir faire l'objet de critiques. En effet, quand bien même la situation semble s'être globalement améliorée depuis l'octroi initial de la rente, l'ensemble des intervenants atteste d'une capacité de travail nulle ou presque nulle. Pour sa part, l'activité de la recourante au taux de 20% auprès de son ancien employeur – et médecin généraliste – est non rémunérée et qualifiée de thérapeutique (cf. not. dossier OAI, p. 160, 174, 196, 219, 222, 232, 247, 265 et 267).</w:t>
      </w:r>
    </w:p>
    <w:p>
      <w:r>
        <w:rPr>
          <w:b/>
        </w:rPr>
        <w:t>E. 5.1</w:t>
      </w:r>
    </w:p>
    <w:p>
      <w:r>
        <w:t>Demeure uniquement litigieuse, l'évaluation de la capacité de travail de la recourante dans la partie ménagère, prise en compte à raison de 40%. Dans sa décision, l'OAI retient un degré d'invalidité de 9.48% dans l'activité ménagère. Selon les considérants de l'enquête domiciliaire, ce taux correspond au cumul pondéré des empêchements retenus dans les rubriques "tenue du ménage" (100% d'empêchements pondérés à 3%), "alimentation" (17% d'empêchements pondérés à 31%), "entretien du logement" (28% d'empêchements pondérés à 15%), "emplettes et courses diverses" (100% d'empêchements pondérés à 8%), "lessive et entretien des vêtements" (20% d'empêchements pondérés à 8%), "soins aux enfants" (50% d'empêchements pondérés à 29%) et "divers" (49% d'empêchements pondérés à 9%). Il découle du cumul de ces empêchements pondérés un taux de 39.48%. Ce taux global est encore réduit de 30% au titre de l'"obligation de réduire le dommage" imposée à l'époux et au fils aîné (cf. enquête domiciliaire du 25 août 2017, dossier OAI, p. 247).</w:t>
      </w:r>
    </w:p>
    <w:p>
      <w:r>
        <w:rPr>
          <w:b/>
        </w:rPr>
        <w:t>E. 5.2</w:t>
      </w:r>
    </w:p>
    <w:p>
      <w:r>
        <w:t>Comme la recourante l'indique à juste titre, la Cour a déjà eu l'occasion de se prononcer en détail sur la prise en compte d'une réduction dans la tenue du ménage au titre de l'"obligation de diminuer le dommage", en particulier dans le cadre de l'arrêt 608 2018 45 du 16 juillet 2018 (consid. 6.1.1). Dans cet arrêt précité, la prise en compte d'une réduction au titre de l'obligation de diminuer le dommage n'était, quant à son principe, pas remise en cause. En effet, de jurisprudence constante, la personne assurée est notamment tenue d'adopter une méthode de travail adéquate, de répartir son travail en conséquence et de demander l'aide de ses proches dans une mesure convenable (cf. not. ATF 133 V 504 consid. 4.2). C'était bien la seule méthode dont faisait usage l'OAI qui n'était pas exempte de critiques. On constate néanmoins que la méthode ici utilisée n'est pas totalement identique. En effet, la réduction de 30% n'est plus effectuée par le case manager mais par la personne chargée de l'enquête domiciliaire. Celle-ci a introduit un pourcentage au titre de l'"obligation de réduire le dommage" dans un formulaire informatique, lequel distingue l'âge des membres de la famille ainsi que des critères – non définis – de "disponibilité", de "pénibilité", de "santé" et</w:t>
      </w:r>
    </w:p>
    <w:p>
      <w:r>
        <w:t>Tribunal cantonal TC Page 8 de 9 d'"occupation". Ces différents critères de distinction suggèrent que la méthode utilisée semble un peu moins schématique qu'auparavant. En outre, contrairement à ce qui avait été relevé par la Cour à l'époque, il apparaît que cette réduction ne semble plus cumulée aux différents éléments visant à réduire le dommage. Ainsi, quand bien même l'époux aide la recourante dans l'organisation du ménage (planification, répartition, contrôle), un empêchement total a néanmoins été retenu. L'on ne peut dès lors, semble-t-il, plus faire le reproche de tenir compte à deux reprises du même facteur de réduction.</w:t>
      </w:r>
    </w:p>
    <w:p>
      <w:r>
        <w:rPr>
          <w:b/>
        </w:rPr>
        <w:t>E. 5.3</w:t>
      </w:r>
    </w:p>
    <w:p>
      <w:r>
        <w:t>Cette méthode ne peut cependant toujours pas être cautionnée par la Cour, et cela pour plusieurs motifs. La réduction s'opère encore de manière indifférenciée sur l'ensemble des empêchements dans l'activité ménagère. Ainsi que la Cour l'avait relevé dans son arrêt du 16 juillet 2018 et auquel on peut renvoyer (arrêt TC 608 2018 45 précité consid. 6.1.3), une telle pratique ne tient pas compte de l'aspect individuel de l'invalidité. Celui-ci découle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Ce caractère concret doit également valoir sous l'angle de la diminution du dommage, laquelle doit être prise en compte de manière différentiée pour chacun des postes. En outre, l'on ne peut pas appréhender le pourcentage de 30% et déterminer ce que ce taux représente concrètement. La Cour relève ne pas être non plus en mesure de comprendre les critères de "disponibilité", "pénibilité", "santé" et "occupation", y compris les motifs pour lesquels ils ne permettent pas une réduction du pourcentage de l'"obligation de réduire le dommage" dans le cas d'espèce. Tout au plus constate-t-on que le taux de 30% a pour effet de diminuer très sensiblement l'invalidité dans les tâches ménagères, partant le droit théorique à une rente (entière) - étant précisé que ce taux a également été appliqué dans un cas de pure méthode spécifique; cf. arrêt TC FR 605 2018 161 du 21 novembre 2018), tout en ne pouvant être adapté que par des facteurs très limités. On constate donc, quoi qu'il en soit, que, par cette méthode, l'OAI faillit à son obligation de motiver suffisamment sa décision. Enfin, l'on peut même se demander si cette réduction forfaitaire constituerait une discrimination indirecte fondée sur le genre, par analogie à l'arrêt de la CourEDH (cf. arrêt CourEDH n° 7186/09 Di Trizio c. Suisse du 2 février 2016). La méthode telle qu'utilisée ici par l'autorité intimée ne respecte ni l'aspect individuel de l'invalidité ni son obligation de motiver ses décisions. Pour que tel soit le cas, la personne chargée de l'enquête doit donner son avis sur l'obligation de réduire le dommage pour chaque activité. Puis, toujours pour chaque activité, elle doit examiner les possibilités dont dispose la famille pour réduire le dommage, ce qui implique, on le rappelle, non seulement de déterminer l'aide exigible que peuvent/doivent fournir les membres de la famille mais aussi d'explorer les possibilités d'améliorer les méthodes de travail.</w:t>
      </w:r>
    </w:p>
    <w:p>
      <w:r>
        <w:rPr>
          <w:b/>
        </w:rPr>
        <w:t>E. 6</w:t>
      </w:r>
    </w:p>
    <w:p>
      <w:r>
        <w:t>Au vu de l'ensemble de ce qui précède, le recours, bien fondé, est admis, la décision du 17 juillet 2018 annulée, et la cause renvoyée à l'autorité intimée, charge à cette dernière de se conformer aux considérants qui précèdent et de rendre une nouvelle décision.</w:t>
      </w:r>
    </w:p>
    <w:p>
      <w:r>
        <w:t>Tribunal cantonal TC Page 9 de 9 Compte tenu de l'issue du litige, il convient de condamner l'autorité intimée qui succombe à des frais de procédure, par CHF 800.-. L'avance de frais effectuée par la recourante, à raison de CHF 800.-, lui est restituée. Ayant obtenu gain de cause, la recourante a droit à l'octroi d'une indemnité de partie pour ses frais de défense. Dès lors que le représentant est employé au sein d'une assurance de protection juridique, l'indemnité de partie est fixée ex aequo et bono à CHF 1'000.-, éventuelle TVA comprise. Ce montant est intégralement mis à la charge de l'autorité intimée qui succombe. la Cour arrête : I. Le recours est admis. Partant, la décision du 17 juillet 2018 de l’Office de l'assurance-invalidité du canton de Fribourg est annulée et la cause renvoyée à l'autorité intimée, charge à cette dernière de se conformer aux considérants et de rendre une nouvelle décision. II. Les frais de procédure de la recourante, par CHF 800.-, sont mis à la charge de l'Office de l'assurance-invalidité du canton de Fribourg, l'avance de frais de CHF 800.- versée par la recourante lui étant restituée. III. L'indemnité de partie est fixée à CHF 1'000.-, éventuelle TVA comprise, et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