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180 vom 8. Juli 2019</w:t>
      </w:r>
    </w:p>
    <w:p>
      <w:r>
        <w:t>FR Kantonsgericht, 2019-07-08, FR</w:t>
      </w:r>
    </w:p>
    <w:p>
      <w:r>
        <w:rPr>
          <w:b/>
        </w:rPr>
        <w:t xml:space="preserve">Quelle: </w:t>
      </w:r>
      <w:r>
        <w:t>https://mcp.opencaselaw.ch/entscheid/fr_gerichte_608_2018_180</w:t>
      </w:r>
    </w:p>
    <w:p>
      <w:r>
        <w:t>FR: FR_GERICHTE 608 2018 180 du 8 juillet 2019</w:t>
      </w:r>
    </w:p>
    <w:p>
      <w:r>
        <w:t>IT: FR_GERICHTE 608 2018 180 del 8 luglio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De plus, le droit à la rente prend naissance au plus tôt à l'échéance d'une période de six mois à compter de la date à laquelle l'assuré a fait valoir son droit aux prestations (art. 29 al. 1 LAI).</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w:t>
      </w:r>
    </w:p>
    <w:p>
      <w:r>
        <w:rPr>
          <w:b/>
        </w:rPr>
        <w:t>E. 2.2.1</w:t>
      </w:r>
    </w:p>
    <w:p>
      <w:r>
        <w:t>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w:t>
      </w:r>
    </w:p>
    <w:p>
      <w:r>
        <w:t>Tribunal cantonal TC Page 4 de 7 elle ne subit pas d'incapacité de gain tant que sa capacité résiduelle de travail est plus étendue ou égale au taux d'activité qu'elle exercerait sans atteinte à la santé (arrêt TF 9C_713/2007 du 8 août 2008 consid. 3.2).</w:t>
      </w:r>
    </w:p>
    <w:p>
      <w:r>
        <w:rPr>
          <w:b/>
        </w:rPr>
        <w:t>E. 2.2.2</w:t>
      </w:r>
    </w:p>
    <w:p>
      <w:r>
        <w:t>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ATF 143 I 50 consid. 4.4).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2.2.3</w:t>
      </w:r>
    </w:p>
    <w:p>
      <w:r>
        <w:t>La réponse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(arrêts TF 9C_62/2011 du 16 août 2011 consid. 4 et 9C_667/2007 du 12 juin 2008 consid. 3).</w:t>
      </w:r>
    </w:p>
    <w:p>
      <w:r>
        <w:rPr>
          <w:b/>
        </w:rPr>
        <w:t>E. 3</w:t>
      </w:r>
    </w:p>
    <w:p>
      <w:r>
        <w:t>En l'espèce, la recourante remet tout d'abord en cause le taux auquel elle aurait travaillé sans atteinte à la santé. Elle ne conteste ni le revenu de l'activité lucrative, avec et sans invalidité, ni le taux de capacité résiduelle de travail.</w:t>
      </w:r>
    </w:p>
    <w:p>
      <w:r>
        <w:rPr>
          <w:b/>
        </w:rPr>
        <w:t>E. 3.1</w:t>
      </w:r>
    </w:p>
    <w:p>
      <w:r>
        <w:t>L'assurée allègue ainsi que, sans les troubles dont elle souffre, elle travaillerait à plein temps, de sorte que l'art. 27bis al. 1 RAI, selon lequel il convient d'évaluer l'invalidité exclusivement selon les principes applicables aux personnes exerçant une activité lucrative lorsqu'il y a lieu d'admettre pour un assuré exerçant une activité à temps partiel qu'il travaillerait à plein temps sans atteinte à la santé, est applicable. L'OAI relève pour sa part que les déclarations de la recourante au sujet du taux d'activité qu'elle exercerait sans atteinte à la santé ont fortement varié durant l'instruction et qu'il y a lieu de tenir compte des premières déclarations qu'elle a faites, soit qu'elle aurait travaillé à 50%.</w:t>
      </w:r>
    </w:p>
    <w:p>
      <w:r>
        <w:rPr>
          <w:b/>
        </w:rPr>
        <w:t>E. 3.2</w:t>
      </w:r>
    </w:p>
    <w:p>
      <w:r>
        <w:t>L'assurée n'a pratiquement jamais travaillé et n'est professionnellement plus active depuis de nombreuses années (cf. notamment expertise psychiatrique, dossier OAI p. 450; compte individuel, dossier OAI p. 33). Puisqu'elle ne travaille pas à temps partiel, l'art. 27bis RAI n'est ici pas applicable. Il convient par contre d'examiner en fonction des circonstances personnelles, familiales et financières si elle exercerait une activité à plein temps. Il ressort du dossier que l'assurée a d'abord indiqué le 13 août 2013 à l'OAI qu'elle travaillerait à 40 ou 50% sans troubles de la santé (1er entretien, dossier OAI p. 55). Dès le 13 décembre 2013, elle a ensuite déclaré qu'elle serait professionnellement active à 100% et n'a plus changé de version (courriers de son mandataire du 13 décembre 2013, dossier OAI p. 90, du 16 juin 2016, dossier</w:t>
      </w:r>
    </w:p>
    <w:p>
      <w:r>
        <w:t>Tribunal cantonal TC Page 5 de 7 OAI p. 424 et du 4 octobre 2017, dossier OAI p. 513; 1er entretien du 8 janvier 2015, dossier OAI p. 194). Ses déclarations n'ont ainsi pas fortement varié au fil du temps. S'agissant des circonstances personnelles et familiales, la recourante est mère de deux enfants âgés en 2013 de 20 ans, respectivement 17 ans, de sorte qu'ils n'empêchaient déjà plus la reprise d'une activité à plein temps. Sur le plan financier, ses premières déclarations du 13 août 2013, selon lesquelles elle travaillerait à 40 ou 50% sans atteinte à la santé, s'expliquent de façon vraisemblable par le fait qu'elle touchait une pension alimentaire confortable de CHF 5'000.-, octroyée par le jugement de mesures protectrices de l'union conjugale du 9 juin 2011 (dossier OAI p. 2), depuis plus de deux ans. Ce montant lui permettait en effet aisément d'envisager de travailler à temps partiel. La situation s'est modifiée lorsque son époux lui a fait parvenir un projet de convention de divorce en septembre 2013. Cette convention prévoyait en effet une réduction de la pension à CHF 3'000.- jusqu'au 30 juin 2015, puis à CHF 1'500.- du 1er juillet 2015 au 30 juin 2017, et dès cette date sa suppression pure et simple. Ces réductions de 40%, 70% et enfin de 100% sont importantes et n'auraient au final pas rendu suffisant l'exercice d'une activité à 50%. Il est donc cohérent que l'assurée soutienne qu'elle aurait travaillé à plein temps. L'octroi d'une pension de CHF 3'500.- jusqu'à l'âge de la retraite (jugement de divorce du 18 septembre 2015, dossier OAI p. 343) ne change rien à cette appréciation. En effet, si la recourante a un baccalauréat et maîtrise plusieurs langues (CV, dossier OAI p. 148), elle n'a pas travaillé durant de nombreuses années pour reprendre finalement un travail sur appel durant un seul mois et ne pourrait prétendre à un salaire élevé. Partant, il est compréhensible qu'elle continuait de soutenir qu'elle aurait travaillé à 100% pour compléter la pension alimentaire. Depuis le décès de son ex-époux le 2 octobre 2016, la recourante touche une rente de veuve de CHF 1'880.-. Elle subit ainsi une perte de près de 50% par rapport à la pension octroyée en septembre 2015 et de plus de 60% par rapport à la pension fixée en juin 2011. L'exercice d'une activité à 50% ne permettrait pas, compte tenu de sa longue absence du monde du travail, de réaliser un revenu suffisant pour subvenir convenablement à son entretien. Il convient encore de relever que l'assurée n'a pas attendu pour informer l'autorité intimée de l'influence que le divorce avait sur ses intentions quant au nouveau taux d'activité sans atteinte à la santé. En effet, l'annonce a été faite en décembre 2013, soit 3 mois après ses premières déclarations et après avoir eu connaissance des premiers chiffres relatifs à la pension alimentaire qui lui était offerte. Il est dès lors cohérent également sur le plan temporel d'admettre qu'elle aurait exercé, sans invalidité, une activité à 100% dès le mois de décembre 2013.</w:t>
      </w:r>
    </w:p>
    <w:p>
      <w:r>
        <w:rPr>
          <w:b/>
        </w:rPr>
        <w:t>E. 3.3</w:t>
      </w:r>
    </w:p>
    <w:p>
      <w:r>
        <w:t>Au vu des circonstances du cas d'espèce, il est vraisemblable, tant sur le plan personnel que sur le plan financier, que la recourante aurait repris une activité à plein temps dès décembre 2013. Partant, il convient dès lors d'utiliser la méthode ordinaire. La Cour constate que tant le revenu sans invalidité que le revenu avec invalidité ont été correctement établis par l'autorité intimée pour une durée usuelle de 41,7 heures sur la base des salaires statistiques. De plus, l'utilisation de ceux-ci et la prise en compte du salaire correspondant à la moyenne femme du tableau TA1 ESS 2014 ne sont pas contestés. Dès lors que l'expert psychiatre retient une capacité de travail de 3h par jour, 5 jours par semaine (soit de 35,97% dans un horaire usuel), le degré d'invalidité est de 64,03% et ouvre le droit à trois quarts de rente.</w:t>
      </w:r>
    </w:p>
    <w:p>
      <w:r>
        <w:t>Tribunal cantonal TC Page 6 de 7</w:t>
      </w:r>
    </w:p>
    <w:p>
      <w:r>
        <w:rPr>
          <w:b/>
        </w:rPr>
        <w:t>E. 3.4</w:t>
      </w:r>
    </w:p>
    <w:p>
      <w:r>
        <w:t>L'assurée estime qu'elle a droit à la rente à partir du 1er décembre 2013, soit 6 mois dès le dépôt de sa demande, l'incapacité de travail étant de plus déjà ancienne. La demande ayant été déposée en mai 2013, le délai de six mois dès la date à laquelle l'assurée a fait valoir son droit aux prestations était échu en décembre 2013. Par contre, si les troubles dont souffre la recourante remontent à de nombreuses années, une incapacité de travail d'au moins 40% n'est médicalement attestée qu'à partir du 28 octobre 2013 (rapport de la Dresse C.________, spécialiste en psychiatrie et psychothérapie, dossier OAI p. 77). L'avis du médecin du SMR, le Dr D.________, spécialiste en anasthésiologie, selon lequel il y une incapacité de travail de 50% depuis août 2012, n'est pas déterminant du fait que, d'une part, sa spécialité n'est pas la psychiatrie, et que, d'autre part, il se fonde sur un rapport du 27 mai 2013 de la Dresse C.________, qui atteste d'une rechute dépressive en août 2012 mais non d'une quelconque incapacité de travail qui aurait perduré (dossier OAI p. 28). Par conséquent, le délai d'un an de l'art. 28 al. 1 let. b LAI échoit le 28 octobre 2014. Partant, la recourante a droit à trois quart de rente à partir du 1er octobre 2014.</w:t>
      </w:r>
    </w:p>
    <w:p>
      <w:r>
        <w:rPr>
          <w:b/>
        </w:rPr>
        <w:t>E. 4</w:t>
      </w:r>
    </w:p>
    <w:p>
      <w:r>
        <w:t>La recourante allègue encore qu'étant veuve divorcée, elle serait discriminée par rapport à la situation qui serait la sienne si son ex-époux vivait encore. En effet, l'art. 24b LAVS impose que seule la rente la plus élevée entre la rente de veuve et la rente AI est versée, alors que si son ex- mari serait encore en vie, elle cumulerait la pension alimentaire qu'il lui verserait et sa propre rente d'invalidité. En procédure contentieuse, l'objet du litige est défini par trois éléments: l'objet du recours, les conclusions du recours et, accessoirement, les motifs de celui-ci. La décision attaquée délimite l'objet de la contestation;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de la contestation (arrêt TF 2C_612/2007 du 7 avril 2008 et les références citées). Dans la décision ici contestée, l'autorité intimée tranche uniquement la question du droit à la rente invalidité. Partant, l'argument de la discrimination ne fait pas partie de l'objet du litige. La recourante n'a d'ailleurs pas pris de conclusion à ce sujet.</w:t>
      </w:r>
    </w:p>
    <w:p>
      <w:r>
        <w:rPr>
          <w:b/>
        </w:rPr>
        <w:t>E. 5</w:t>
      </w:r>
    </w:p>
    <w:p>
      <w:r>
        <w:t>Au vu de ce qui précède, le recours est partiellement admis et la décision attaquée modifiée dans le sens que la recourante a droit à trois quarts de rente dès le 1er octobre 2014. La procédure n'étant pas gratuite, les frais de justice sont fixés à CHF 800.-. Ils sont mis pour un quart à la charge de la recourante, soit CHF 200.-, et trois-quarts, soit CHF 600.-, à la charge l'autorité intimée. Le solde de l'avance de frais du 14 août 2018, par CHF 600.-, est remboursé à la recourante. Ayant partiellement obtenu gain de cause, la recourante a droit à des dépens (art. 61 let. g LPGA). Son mandataire a produit sa liste de frais le 5 octobre 2018. Celle-ci correspond aux exigences du tarif applicable (cf. art. 8 ss du tarif cantonal du 17 décembre 1991 des frais de procédure et des</w:t>
      </w:r>
    </w:p>
    <w:p>
      <w:r>
        <w:t>Tribunal cantonal TC Page 7 de 7 indemnités en matière de juridiction administrative; Tarif/JA; RSF 150.12), à l'exception de l'utilisation d'un forfait pour le calcul des débours dont l'usage est prévu en procédure civile et non pas administrative (cf. arrêt TC 608 2015 159 du 16 novembre 2016; art. 68 du règlement du 30 novembre 2010 sur la justice, RJ; RSF 130.11). Partant, il se justifie de fixer l'équitable indemnité à laquelle elle a droit à CHF 2'096.55 à raison de 7h40 à CHF 250.-, soit à un montant de CHF 1'916.65, plus CHF 30.- au titre de débours, plus CHF 149.90 au titre de la TVA à 7,7%. Cette indemnité est mise intégralement à la charge de l'OAI. la Cour arrête : I. Le recours est partiellement admis. Partant, la décision est modifiée en ce sens que A.________ a droit à trois quarts de rente dès le 1er octobre 2014. Pour le surplus, le recours est rejeté. II. Les frais de justice, fixés à CHF 800.-, sont mis à la charge de A.________ à raison de CHF 200.-, et de l'Office de l'assurance-invalidité du canton de Fribourg à raison de CHF 600.-. III. Le solde de l'avance de frais par CHF 600.- est restitué à A.________. IV. L'indemnité de partie allouée à A.________ pour ses frais de défense est fixée à CHF 1'946.65, débours compris, plus CHF 149.90 au titre de la TVA à 7.7%, soit à un total de CHF 2'096.55,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