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158 vom 8. Februar 2019</w:t>
      </w:r>
    </w:p>
    <w:p>
      <w:r>
        <w:t>FR Kantonsgericht, 2019-02-08, FR</w:t>
      </w:r>
    </w:p>
    <w:p>
      <w:r>
        <w:rPr>
          <w:b/>
        </w:rPr>
        <w:t xml:space="preserve">Quelle: </w:t>
      </w:r>
      <w:r>
        <w:t>https://mcp.opencaselaw.ch/entscheid/fr_gerichte_608_2018_158</w:t>
      </w:r>
    </w:p>
    <w:p>
      <w:r>
        <w:t>FR: FR_GERICHTE 608 2018 158 du 8 février 2019</w:t>
      </w:r>
    </w:p>
    <w:p>
      <w:r>
        <w:t>IT: FR_GERICHTE 608 2018 158 del 8 febbraio 2019</w:t>
      </w:r>
    </w:p>
    <w:p>
      <w:pPr>
        <w:pStyle w:val="Heading2"/>
      </w:pPr>
      <w:r>
        <w:t>Regeste</w:t>
      </w:r>
    </w:p>
    <w:p>
      <w:r>
        <w:t>Arrêt de la IIe Cour des assurances sociales du Tribunal cantonal | Invalidenversicherung</w:t>
      </w:r>
    </w:p>
    <w:p>
      <w:pPr>
        <w:pStyle w:val="Heading2"/>
      </w:pPr>
      <w:r>
        <w:t>Erwägungen</w:t>
      </w:r>
    </w:p>
    <w:p>
      <w:r>
        <w:rPr>
          <w:b/>
        </w:rPr>
        <w:t>E. 17</w:t>
      </w:r>
    </w:p>
    <w:p>
      <w:r>
        <w:t>janvier 1961 sur l'assurance-invalidité (RAI; RS 831.201), qui exige d'extrapoler à 100% le revenu sans invalidité exercé à temps partiel. Elle requiert par ailleurs l'application d'un abattement supplémentaire de 25% sur le salaire statistique. Au final, elle prétend, principalement, à l'octroi d'une demi-rente d'invalidité et, subsidiairement, à celui d'un quart de rente d'invalidité. Le 28 juin 2018, elle s'est acquittée d'une avance de frais de CHF 800.-. Dans ses observations du 4 juillet 2018, l’OAI relève qu'au terme d'une longue phase d'objections, tous les éléments au dossier ont été pris en compte. Il conclut ainsi au rejet du recours. Invitée à se prononcer en tant qu'institution de prévoyance intéressée, G.________ a renoncé à formuler des remarques.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Tribunal cantonal TC Page 4 de 7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2.2.1.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2.2.2.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RAI, entré en vigueur le 1er janvier 2018. Cet article, applicable au cas d'espèce, la décision ici attaquée étant postérieure à son entrée en vigueur,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w:t>
      </w:r>
    </w:p>
    <w:p>
      <w:r>
        <w:t>Tribunal cantonal TC Page 5 de 7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3. En l'espèce, la recourante ne remet pas en cause le recours à la méthode mixte, ni ne conteste la répartition entre activité lucrative (80%) et tâches ménagères (20%). L'existence d'une capacité de travail de 66% dans une activité adaptée n'est, elle non plus, pas formellement remise en cause. Ces problématiques n'apparaissent, au demeurant, pas devoir faire l'objet de critiques. On relève notamment que l'évaluation de la capacité de travail s'est faite sur la base d'une expertise du Dr F.________ qui remplit les critères pour lui reconnaître une pleine valeur probante. Est en revanche principalement litigieuse l'évaluation de la capacité de travail de la recourante dans la partie dite "lucrative", prise en compte pour 80%. Cette dernière reproche à l'OAI d'avoir procédé au calcul du degré d'invalidité sur la base de l'ancienne méthode mixte. Elle requiert par conséquent que soit appliquée la nouvelle méthode. A la lecture de la décision querellée, on constate que l'OAI a fixé le revenu d'invalide, sur la base de l'Enquête suisse sur la structure des salaires 2014, en tenant compte du taux d'activité retenu par l'expert cité plus haut, soit 66%. Il a ensuite évalué le revenu que l'assurée aurait pu réaliser si elle n'était pas devenue invalide, en tant qu'employée de maison à 80%. Si ce mode de calcul correspond à la législation en vigueur jusqu'au 31 décembre 2017, tel n'est plus le cas par la suite. Dans la mesure où, comme rappelé plus haut (cf. consid. 2.2.2 in fine), la nouvelle règlementation relative à la méthode mixte d'évaluation de l'invalidité est entrée en vigueur le 1er janvier 2018, il incombait à l'OAI d'en faire application en l'espèce. Or, celle-ci impose désormais d'extrapoler le revenu de valide à 100%, ce qui n'a pas été fait. Cette injonction découle également de la Circulaire sur l’invalidité et l’impotence dans l’assurance-invalidité (CIIAI; ch. 3098ss), dans sa version en vigueur à partir du 1er janvier 2018. Dès lors qu'il n'existe nul motif de s'en écarter - l'autorité intimée ne fait d'ailleurs aucune allusion à ce sujet dans ses observations -, il s'impose de corriger le calcul en question, en extrapolant le revenu de CHF 54'239.25, correspondant à une activité à 80%, à son équivalent à 100%. Il découle de ce qui précède que le revenu de valide s'élève à CHF 67'799.05 (54'239.25 / 80%), à partir du 1er janvier 2018. 4. Reste encore à déterminer si une réduction supplémentaire de 25% au titre de désavantage salarial aurait dû être accordée par l'autorité intimée, comme le soutient la recourante. 4.1. Son âge (57 ans au moment du rapport médical ayant fixé sa capacité de travail de manière convaincante) n’implique aucun abattement supplémentaire au titre de désavantage salarial (cf. arrêt TF 9C_805/2012 du 15 mai 2012). Quant aux limitations fonctionnelles présentées par la recourante, si elles ont été décrites de manière très soigneuse par le Dr F.________, il convient d’admettre qu’elles sont somme toute communes au regard des</w:t>
      </w:r>
    </w:p>
    <w:p>
      <w:r>
        <w:t>Tribunal cantonal TC Page 6 de 7 pathologies diagnostiquées et qu’elles sont compatibles avec maintes activités peu ou moyennement lourdes. Par ailleurs, le salaire niveau 1 est suffisamment représentatif et recouvre un large éventail d'activités variées et non qualifiées, n'impliquant pas de formation particulière et compatibles avec des limitations fonctionnelles peu contraignantes (cf. arrêts TF 8C_97/2014 du 16 juillet 2014; 9C_963/08 du 27 mai 2009 et les références citées, rendus en application du niveau 4 de l'ancienne nomenclature de l'ESS correspondant à l'actuel niveau 1). Dans le même ordre d'idées, il convient de relever qu'il a déjà été largement tenu compte desdites limitations fonctionnelles lors de l'évaluation de la capacité de travail. De surcroît, force est de constater que la recourante pourrait encore exploiter économiquement sa capacité résiduelle de travail si les places de travail disponibles correspondent à l'offre de la main-d'œuvre; autrement dit, ses difficultés à trouver un travail de substitution ne sont pas tributaires de son état de santé, mais exclusivement de facteurs relevant cas échéant de l’assurance-chômage (VSI 2000 70; arrêt TF 9C_386/2012 du 18 septembre 2012). Enfin, c’est le lieu de noter que le juge ne peut sans motif pertinent substituer sa propre appréciation à celle de l'administration, laquelle dispose en cette matière d’un large pouvoir d’appréciation (cf. ATF 137 V 71 et les références citées; arrêt TF 8C_490/2011 du 11 janvier 2012). Dans cette mesure, une réduction supplémentaire au titre de désavantage salarial doit être refusée, de sorte que le revenu d'invalide retenu par l'OAI (CHF 35'503.40) peut être avalisé. 4.2. De la comparaison des revenus (le revenu de valide de CHF 67'799.05 est comparé au revenu d’invalide de CHF 35'503.40), il résulte une invalidité de 47.63% pour la partie lucrative; pondéré à 80%, il se monte à au final à 38.10%. Augmenté des 3.85% relatifs à l'invalidité ménagère (non contesté), il en découle un taux d'invalidité global de 41.95% qui, arrondi à 42%, ouvre le droit à un quart de rente d'invalidité, ce qui correspond à la conclusion subsidiaire de la recourante. Ensuite des considérations qui précèdent, la recourante a droit à un quart de rente de l’assurance- invalidité dès le 1er janvier 2018, soit dès l'entrée en vigueur de la réglementation relative à la méthode mixte (cf. Lettre circulaire AI n° 372 de l'Office fédéral des assurances sociales). Elle est par contre déboutée pour la période antérieure. 5. Le recours de l'assurée partiellement est admis et la décision du 7 mai 2018 modifiée dans le sens que cette dernière se voit reconnaître le droit à un quart de rente d'invalidité à partir du 1er janvier 2018.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de la recourante. S'agissant de cette dernière, les frais de procédure seront compensés avec l'avance de frais qu'elle a versée, le solde lui étant restitué. Ayant obtenu gain de cause, la recourante a droit à des dépens entiers (cf. ATF 117 V 401). Sur la base de la liste de frais produite le 5 février 2019 par son mandataire, un montant total de CHF 1'803.30, soit CHF 1'629.- au titre d'honoraires (6h31 à CHF 250.-), CHF 45.40 au titre des débours et CHF 128.90 au titre de la TVA (7.7%).</w:t>
      </w:r>
    </w:p>
    <w:p>
      <w:r>
        <w:t>Tribunal cantonal TC Page 7 de 7 la Cour arrête : I. Le recours est partiellement admis. Partant, la décision rendue le 7 mai 2018 par l’Office de l’assurance-invalidité du canton de Fribourg est réformée en ce sens que la recourante a droit à un quart de rente d’invalidité dès le 1er janvier 2018. Le recours est rejeté pour le surplus. II. Les frais de justice, par CHF 800.-, sont mis à raison de CHF 400.- à la charge de l'autorité intimée et de CHF 400.- à la charge de la recourante. Le montant dû par la recourante est compensé avec l'avance de frais versée par celle-ci, le solde de CHF 400.- lui étant restitué. III. L'indemnité allouée à Me Benoît Sansonnens est fixée à CHF 1'803.30. Elle est intégralement prise en charge par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