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127 vom 20. Dezember 2019</w:t>
      </w:r>
    </w:p>
    <w:p>
      <w:r>
        <w:t>FR Kantonsgericht, 2019-12-20, FR</w:t>
      </w:r>
    </w:p>
    <w:p>
      <w:r>
        <w:rPr>
          <w:b/>
        </w:rPr>
        <w:t xml:space="preserve">Quelle: </w:t>
      </w:r>
      <w:r>
        <w:t>https://mcp.opencaselaw.ch/entscheid/fr_gerichte_608_2018_127</w:t>
      </w:r>
    </w:p>
    <w:p>
      <w:r>
        <w:t>FR: FR_GERICHTE 608 2018 127 du 20 décembre 2019</w:t>
      </w:r>
    </w:p>
    <w:p>
      <w:r>
        <w:t>IT: FR_GERICHTE 608 2018 127 del 20 dicembre 2019</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w:t>
      </w:r>
    </w:p>
    <w:p>
      <w:r>
        <w:rPr>
          <w:b/>
        </w:rPr>
        <w:t>E. 2.2</w:t>
      </w:r>
    </w:p>
    <w:p>
      <w:r>
        <w:t>Pour évaluer le degré d'invalidité, il existe principalement trois méthodes - la méthode générale de comparaison des revenus, la méthode spécifique et la méthode mixte -, dont</w:t>
      </w:r>
    </w:p>
    <w:p>
      <w:r>
        <w:t>Tribunal cantonal TC Page 4 de 11 l'application dépend du statut du bénéficiaire potentiel de la rente: assuré exerçant une activité lucrative à temps complet, assuré non actif, assuré exerçant une activité lucrative à temps partiel (arrêt TF 9C_589/2014 du 6 mars 2015 consid. 3.1).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et la méthode extraordinaire de comparaison des revenus (arrêt TF 9C_589/2014 précité; ATF 137 V 334 consid. 3.1.1 et les références). Si l'on ne peut déterminer ou évaluer sûrement les deux revenus en cause, il faut, en s'inspirant de la méthode spécifique pour personnes sans activité lucrative,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(arrêt TF 9C_236/2009 du 7 octobre 2009 consid. 3.2 et les références citées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 TF 9C_236/2009 précité consid. 3.3 et les références citées).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du 17 janvier 1961 sur l'assurance-invalidité, RAI; RS 831.201). Par travaux habituels, il faut notamment entendre</w:t>
      </w:r>
    </w:p>
    <w:p>
      <w:r>
        <w:t>Tribunal cantonal TC Page 5 de 11 l'activité usuelle dans le ménage, l'éducation des enfants ainsi que toute activité artistique ou d'utilité publique (cf. art. 27 RAI) (arrêt TF 9C_589/2014 précité consid. 3.1).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(arrêt TF 9C_589/2014 précité consid. 3.1; ATF 137 V 334 consid. 3.1.3 et la référence).</w:t>
      </w:r>
    </w:p>
    <w:p>
      <w:r>
        <w:rPr>
          <w:b/>
        </w:rPr>
        <w:t>E. 2.3</w:t>
      </w:r>
    </w:p>
    <w:p>
      <w:r>
        <w:t>Pour déterminer la méthode applicable au cas particulier, il faut à chaque fois se demander ce que la personne assurée aurait fait si l'atteinte à la santé n'était pas survenue. Lorsqu'elle accomplit ses travaux habituels, il convient d'examiner, à la lumière de sa situation personnelle, familiale, sociale et professionnelle, si elle aurait consacré, étant valide, l'essentiel de son activité à son ménage ou si elle aurait vaqué à une occupation lucrative. Pour déterminer voire circonscrire le champ d'activité probable de la personne assurée, il faut notamment tenir compte d'éléments tels que la situation financière du ménage, l'éducation des enfants, l'âge de l'assurée,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(arrêt TF 9C_589/2014 précité consid. 3.2; ATF 137 V 334 consid. 3.2 et les références citées).</w:t>
      </w:r>
    </w:p>
    <w:p>
      <w:r>
        <w:rPr>
          <w:b/>
        </w:rPr>
        <w:t>E. 2.4</w:t>
      </w:r>
    </w:p>
    <w:p>
      <w:r>
        <w:t>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t>Tribunal cantonal TC Page 6 de 11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De plus, l'on ne saurait remettre en cause une expertise ordonnée par l'administration ou un juge et procéder à de nouvelles investigations du seul fait qu'un ou plusieurs médecins traitants ont une opinion contradictoire (arrêt TF 9C_201/2007 du 29 janvier 2008). 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3</w:t>
      </w:r>
    </w:p>
    <w:p>
      <w:r>
        <w:t>Est en l'espèce litigieuse la question du droit éventuel de la recourante à une rente d'invalidité.</w:t>
      </w:r>
    </w:p>
    <w:p>
      <w:r>
        <w:rPr>
          <w:b/>
        </w:rPr>
        <w:t>E. 3.1</w:t>
      </w:r>
    </w:p>
    <w:p>
      <w:r>
        <w:t>Il faut tout d'abord déterminer quelle est la méthode applicable. L'autorité intimée a considéré qu'il fallait appliquer la méthode mixte avec une répartition de 10 % pour l'activité lucrative et 90 % pour l'activité ménagère. Pour ce faire, elle s'est basée uniquement sur le commentaire suivant de l'enquêtrice dans son rapport du 12 octobre 2016: "Sans atteinte à la santé, elle travaillerait à un pourcentage de 100 %, mais au v[u] de ses CI, un 10 % est plus en adéquat[ion] avec ses revenus" (dossier OAI, p. 111). Dans ses observations, l'autorité intimée souligne en outre que la recourante a déclaré dans le questionnaire à l'intention des personnes s'occupant du ménage que, sans atteinte, elle n'exercerait pas d'activité lucrative et que ce sont les premières déclarations qui font foi, de sorte que l'application de la méthode spécifique serait même à envisager. Une telle façon de procéder n'est toutefois pas correcte. En effet, il faut rappeler que la recourante a travaillé principalement en qualité de coiffeuse indépendante de 1987 à 2014. En 2005 et 2006 ainsi que de 2009 à 2012, elle a complété ses revenus avec une activité de serveuse auprès de différents établissements publics. Il est vrai que les revenus figurant sur l'extrait de son compte individuels sont relativement bas et que la recourante s'est contentée de ses bas revenus pendant des années avant d'être atteinte dans sa santé. Toutefois, on ne peut pas se baser sur eux pour déterminer le taux d'activité de la recourante. En effet, comme indiqué ci-dessus au sujet de la comparaison des revenus d'exploitation (cf. consid. 2.2, 4ème paragraphe), le seul montant des revenus réalisés dans une activité indépendante ne permet pas d'en déduire un taux d'activité, d'autant moins une capacité de travail. Cela est d'autant plus le cas de l'activité de coiffeuse dans laquelle il existe des coûts fixes qui diminuent le bénéfice, indépendamment des rentrées</w:t>
      </w:r>
    </w:p>
    <w:p>
      <w:r>
        <w:t>Tribunal cantonal TC Page 7 de 11 financières liées au taux d'activité. En outre, si l'on examine les revenus annuels de l'assurée de 2009, soit après son divorce prononcé en 2008, à 2014, soit jusqu'à son incapacité de travail attestée depuis le 24 décembre 2014, on ne peut pas retenir qu'ils correspondent à un 10 % d'activité lucrative dans le domaine de la coiffure ou du service dans les établissements publics (2009: CHF 27'079.-, 2010: CHF 36'119.-, 2011: CHF 11'800.-, 2012: 7'949.-, 2013: CHF 5'811.- et 2014: CHF 15'800.-, ce qui représente une moyenne de CHF 17'426.-, soit plus de CHF 170'000.- pour un 100 %). Pour ces raisons déjà, l'autorité intimée ne peut donc absolument pas être suivie lorsqu'elle retient une répartition de 10 % pour l'activité lucrative et 90 % pour l'activité ménagère. De plus, comme rappelé ci-dessus, pour déterminer la méthode applicable au cas particulier, il faut se demander ce que la personne assurée aurait fait si l'atteinte à la santé n'était pas survenue. Pour ce faire, il faut notamment tenir compte d'éléments tels que la situation financière du ménage, l'éducation des enfants, l'âge de l'assurée, ses qualifications professionnelles, sa formation ainsi que ses affinités et talents personnels. L'activité exercée dans le passé peut certes donner certains indices, mais elle ne peut en aucun cas déterminer, à elle seule, ce que l'assurée aurait fait par la suite. Par exemple, une activité exercée à 100 % avant d'avoir des enfants peut venir conforter le fait que la personne travaillerait à nouveau à 100 % après le départ de ses enfants. En revanche, le contraire ne peut pas servir de preuve unique, sans avancer d'autres éléments. Autrement dit, le fait qu'une personne travaillait à temps partiel à un moment donné ne peut pas engendrer automatiquement la preuve qu'elle aurait continué à travailler à temps partiel dans le futur, ce que semble cependant en déduire régulièrement l'autorité intimée, comme l'Instance de céans a pu le constater dans plusieurs cas qui lui ont été soumis dernièrement. Dans le cas d'espèce, il faut tout d'abord relever que la recourante a indiqué lors de l'enquête sur le ménage que, sans atteinte à la santé, elle travaillerait à 100 % (cf. dossier OAI, p. 111) et qu'il n'y a ensuite aucun élément au dossier qui permettrait de contredire ces déclarations. Au contraire, il faut tenir compte du fait qu'elle est âgée de 53 ans, qu'elle a exercé durablement le métier de coiffeuse et de sommelière, ce qui faciliterait la reprise d'une activité, qu'elle est divorcée depuis 2008 et qu'elle vit seule depuis juillet 2015, date à laquelle sa fille a quitté le domicile familial. On peut également ajouter qu'en cas de dépendance à l'aide sociale – ce qui serait manifestement le cas avec une activité exercée à 10 % seulement –, les services d'aide l'inciteraient fortement à travailler à 100 %. Finalement, on ne voit pas pour quelle raison elle resterait quasiment sans activité lucrative durant les 10 ans qui la sépare de l'âge de la retraite. Partant, il y a lieu de constater que la reprise d'une activité à 100 %, telle que le soutient la recourante, est tout à fait cohérente compte tenu des éléments susmentionnés. Dans ces conditions, on peut effectivement retenir que, sans atteinte à la santé, elle aurait travaillé à 100 %, sa situation financière et personnelle ne lui permettant pas de travailler à temps partiel. La décision litigieuse doit donc être annulée et la cause renvoyée à l'autorité intimée pour qu'elle applique la méthode ordinaire de comparaison des revenus, voire la méthode extraordinaire si son activité de coiffeuse est compatible avec ses problèmes de santé.</w:t>
      </w:r>
    </w:p>
    <w:p>
      <w:r>
        <w:rPr>
          <w:b/>
        </w:rPr>
        <w:t>E. 3.2</w:t>
      </w:r>
    </w:p>
    <w:p>
      <w:r>
        <w:t>Par ailleurs, dans la décision querellée, l'autorité intimée a retenu que la recourante ne souffrait d'aucune atteinte à la santé reconnue au sens de l'assurance-invalidité et que sa capacité de travail était entière, jusqu'à preuve du contraire. Elle a ajouté qu'aucun des diagnostics retenus ne justifie une incapacité de travail durable au sens de la LAI.</w:t>
      </w:r>
    </w:p>
    <w:p>
      <w:r>
        <w:t>Tribunal cantonal TC Page 8 de 11 Or, il ressort du dossier que la recourante souffre d'ostéoporose fracturaire. Ce diagnostic est clairement établi et n'est contesté par aucun médecin. Dans ses rapports médicaux du 1er juillet 2015 (dossier OAI, p. 41), du 1er septembre 2015 (dossier OAI, p. 62) et du 17 juillet 2017 (dossier OAI, p. 145), le Dr D.________, médecin généraliste, atteste une incapacité de travail totale dans toute activité depuis le 24 décembre 2014. Dans un rapport du 2 juillet 2015 (dossier OAI, p. 33), la Dresse E.________, spécialiste en rhumatologie, confirme le diagnostic d'ostéoporose fracturaire, mais considère qu'il n'a pas d'influence sur la capacité de travail. Ce rapport n'a toutefois pas beaucoup de poids, car cette spécialiste n'a vu la recourante qu'à une seule reprise, le 6 mai 2015, pour évaluer son ostéoporose suite à la fracture. Le Dr F.________, spécialiste en anesthésiologie auprès du Service médical régional des Offices AI Berne/Fribourg/Soleure (ci-après: SMR), considère quant à lui qu'il n'est pas possible de comprendre la cause médicale objective de l'arrêt de travail prolongé, ni de définir les limitations fonctionnelles qu'elle subit éventuellement. Au vu de l'enquête économique sur le ménage, laquelle conclut à une absence quasi complète d'empêchements, il estime qu'une activité adaptée devrait être possible. Il ajoute que, compte tenu du statut de l'assurée (10 % active / 90 % ménagère), la détermination médicale de la capacité de travail devrait rester sans incidence sur le droit aux prestations, mais que, si une exigibilité médicale chiffrée s'avérait nécessaire, il faudrait mettre en œuvre une expertise orthopédique (cf. rapport du 11 novembre 2016, dossier OAI, p. 129). Dans son rapport du 14 novembre 2017 (dossier OAI, p. 167), il reconnaît que, médicalement, l'ostéoporose est une atteinte à la santé, mais que son caractère invalidant au sens de l'AI est défini en fonction du droit aux prestations qu'il ouvre. Il maintient son avis selon lequel l'incapacité totale de travail dans toute activité attestée par le médecin traitant n'est pas justifiable du point de vue médico-assécurologique. Cependant, il relève que, selon la jurisprudence, le médecin SMR ne peut qu'indiquer quelle opinion médicale il convient de suivre ou, cas échéant, proposer des investigations complémentaires, de sorte que, si, par hypothèse il attestait l'absence d'atteinte invalidante au sens de la LAI, l'OAI ne pourrait de toute façon fonder aucune décision juridiquement valide sur un tel avis. Enfin, dans son dernier rapport du 26 février 2018 (dossier OAI, p. 201), il constate, d'une part, que la méthode de calcul n'a pas été confirmée et, d'autre part, que les mesures d'instruction préconisées depuis novembre 2016 n'ont pas été mises en œuvre. Dans la décision querellée, l'autorité intimée n'a pas suivi l'avis du SMR et a justement retenu que la recourante ne présentait aucune atteinte invalidante au sens de la LAI, alors qu'elle ne disposait pas d'un avis médical suffisant sur cette question. Certes, on peut en principe retenir que l'ostéoporose fracturaire est une maladie n'engendrant pas d'incapacité de travail durable en dehors des périodes suivant les fractures. Or, dans le cas de la recourante, l'évolution suite à la fracture-tassement L2 a été défavorable, comme l'atteste le Dr G.________, spécialiste en chirurgie orthopédique et traumatologie de l'appareil locomoteur. En effet, dans un rapport du</w:t>
      </w:r>
    </w:p>
    <w:p>
      <w:r>
        <w:rPr>
          <w:b/>
        </w:rPr>
        <w:t>E. 7</w:t>
      </w:r>
    </w:p>
    <w:p>
      <w:r>
        <w:t>décembre 2015, la recourante subit une nouvelle intervention chirurgicale sous la forme d'une révision de plaie pour un névrome cicatriciel (cf. rapport du Dr G.________ du 25 janvier 2016, dossier OAI, p. 101). Dans un rapport du 18 avril 2016 (dossier OAI, p. 100), le Dr H.________, spécialiste en neurochirurgie, donne un deuxième avis et estime qu'il existe très probablement une pseudarthrose et qu'une nouvelle intervention sous la forme d'une spondylodèse est à discuter. Enfin, un troisième avis est requis auprès du Dr I.________, spécialiste en chirurgie orthopédique et traumatologie de l'appareil locomoteur. Dans un rapport du 30 novembre 2016 (dossier OAI,</w:t>
      </w:r>
    </w:p>
    <w:p>
      <w:r>
        <w:t>Tribunal cantonal TC Page 9 de 11 p. 186), il fait les constatations suivantes: "Es ist schwer zu sagen, was hier die Beschwerden der Patientin genau verursacht. Einerseits haben wir den Eindruck, dass hier eine klare Schmerzchronifizierung vorliegt, was auch für die Ruheschmerzen spricht. Auf der anderen Seite ist auch noch eine gewisse Belastungsintoleranz gegeben, die wahrscheinlich auf eine gewisse Degeneration des kranialen Anschlusssegmentes zurückzuführen ist. Die Fraktur selber ist konsolidiert. Zusammen mit dem psychosozialen Hintergrund würden wir eher abraten, hier erneut operativ tätig zu werden und zusätzlich dorsal zu stabilisieren. Wir haben den Eindruck, dass man hier nochmals mit gezielter Physiotherapie versuchen sollte, die muskuläre Situation zu verbessern, da hier klar klinische Defizite nachzuweisen sind. Die Frage ist auch, ob man nicht das Co-Dafalgan wechseln sollte, um nicht dauerhaft in eine Abhängigkeitsproblematik hineinzurutschen. Allenfalls könnte man noch L1/L2 mit einer gezielten Infiltration im Bereich der Facettengelenke infiltrieren zur Verifizierung der angegebenen Beschwerden". Dans un rapport du</w:t>
      </w:r>
    </w:p>
    <w:p>
      <w:r>
        <w:rPr>
          <w:b/>
        </w:rPr>
        <w:t>E. 12</w:t>
      </w:r>
    </w:p>
    <w:p>
      <w:r>
        <w:t>décembre 2016 (dossier OAI, p. 185), ce spécialiste donne les indications suivantes: "Offensichtlich hat es doch ein gewisses Ansprechen auf die Infiltration. Vom Klinischen her haben wir den Eindruck, dass es sich durchaus um ein Ménière [recte: Maigne]-Syndrom handeln kann, wo die Schmerzen klar tiefer, vor allem lokal lumbal, lokalisiert werden. Zu diskutieren ist jetzt nochmals neben der Anpassung der Schmerzmedikation eine Radiofrequenzablation L1/2, welches durch unsere radiologischen Kollegen durchgeführt werden würde". Compte tenu de ces rapports médicaux, il est évident que la recourante ne souffre pas d'une "simple" ostéoporose et que l'évolution suite à la fracture-tassement L2 a été défavorable. Les spécialistes parlent d'un névrome cicatriciel, de pseudarthrose, d'une douleur chronique, d'une dégénérescence du segment de liaison, d'un syndrome de Maigne, lequel décrit un ensemble de douleurs dues à l’irritation de nerfs au niveau de la zone dorso-lombaire (plutôt que le syndrome de Ménière qui touche l'oreille interne). Or, aucun d'entre eux ne s'exprime au sujet de l'incidence de ces atteintes sur la capacité de travail de la recourante. Dans la mesure où il a été démontré qu'il n'est pas soutenable d'appliquer au cas de la recourante la méthode mixte avec une répartition de 10 % d'activité lucrative et 90 % d'activité ménagère, mais qu'il faut retenir qu'elle aurait travaillé à 100 % sans atteinte à la santé, l'autorité intimée aurait dû examiner davantage les incidences des atteintes présentées par la recourante sur sa capacité de travail et suivre l'avis du SMR, lequel préconisait la mise en œuvre d'une expertise médicale. Certes, dans son premier rapport, le médecin SMR se reposait sur l'enquête ménagère, laquelle conclut à un empêchement minime, pour estimer qu'une capacité de travail dans une activité adaptée devrait être possible. Or, d'une part, on ne peut pas comparer une activité ménagère qui peut être réalisée avec des pauses, sur plusieurs jours, en aménageant son temps en fonction des douleurs avec une activité lucrative qui permet beaucoup moins d'aménagements. D'autre part, cela démontre que le médecin SMR estimait déjà que l'activité antérieure n'était plus exigible. Enfin, on peut également relever que, dans son rapport du 5 juin 2018 – certes postérieur à la décision litigieuse, mais se référant à certaines consultations ayant eu lieu avant celle-ci – la Dresse C.________, spécialiste en rhumatologie, considère que les atteintes à la santé empêchent la recourante d'exercer une activité lucrative, même adaptée. La Cour de céans doit donc conclure que le dossier n'est pas suffisamment instruit pour permettre de statuer sur le droit aux prestations de la recourante. Il se justifie ainsi de renvoyer la cause à l'autorité intimée pour qu'elle applique la méthode ordinaire de comparaison des revenus, voire la méthode extraordinaire, si, contre toute attente, son activité de coiffeuse est toujours compatible avec ses problèmes de santé. Il lui appartiendra également d'instruire clairement la question de</w:t>
      </w:r>
    </w:p>
    <w:p>
      <w:r>
        <w:t>Tribunal cantonal TC Page 10 de 11 l'incidence des atteintes présentées par la recourante sur sa capacité de travail en mettant en œuvre une expertise orthopédique et/ou rhumatologique, voire une expertise bidisciplinaire orthopédique/rhumatologique et psychiatrique si elle le juge nécessaire, dans la mesure où un syndrome de douleur chronique est suspecté par le Dr I.________ et que la recourante a également évoqué des souffrances psychiques dans sa lettre d'objections du 15 décembre 2017 (dossier OAI, p. 173). La capacité de travail n'ayant pas été investiguée, cela autorise le renvoi à l'autorité intimée selon la jurisprudence en la matière (cf. ATF 137 V 210). 4. Au vu de l'ensemble des considérants qui précèdent, le recours (608 2018 127) est admis et la décision querellée annulée. La cause est renvoyée à l'autorité intimée pour instruction complémentaire au sens des considérants et nouvelle décision. 4.1. Les frais de procédure, par CHF 800.-, sont mis à la charge de l'autorité intimée qui succombe. 4.2. Ayant obtenu gain de cause, la recourante a droit à des dépens. Compte tenu de la liste de frais déposée le 14 juin 2018 par son mandataire, l'indemnité de partie à laquelle elle peut prétendre pour ses frais de défense est fixée, comme demandé, à CHF 2'254.10 d'honoraires, soit 9 heures et 1 minute indemnisées au tarif horaire de CHF 250.-, plus CHF 141.30 de débours et CHF 184.45 au titre de la TVA à 7,7 %, soit à un total de CHF 2'579.85, et mise intégralement à la charge de l'autorité intimée. 4.3. La requête d'assistance judiciaire gratuite totale (608 2018 128), devenue sans objet en raison de l'admission du recours, est rayée du rôle. (dispositif en page suivante)</w:t>
      </w:r>
    </w:p>
    <w:p>
      <w:r>
        <w:t>Tribunal cantonal TC Page 11 de 11 la Cour arrête : I. Le recours (608 2018 127) est admis. Partant, la décision querellée est annulée et la cause renvoyée à l'Office de l'assurance- invalidité du canton de Fribourg pour instruction complémentaire au sens des considérants et nouvelle décision. II. La requête d'assistance judiciaire gratuite totale (608 2018 128), devenue sans objet, est rayée du rôle. III. Les frais de procédure, par CHF 800.-, sont mis à la charge de l'Office de l'assurance- invalidité du canton de Fribourg. IV. L'indemnité de partie allouée à A.________ pour ses frais de défense est fixée à CHF 2'254.10 d'honoraires, plus CHF 141.30 de débours et CHF 184.45 au titre la TVA à 7,7 %, soit un total de CHF 2'579.85,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décembre 2019/meg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